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FD" w:rsidRDefault="002222FD" w:rsidP="002222FD">
      <w:pPr>
        <w:tabs>
          <w:tab w:val="left" w:pos="651"/>
        </w:tabs>
        <w:rPr>
          <w:rFonts w:ascii="方正黑体_GBK" w:eastAsia="方正黑体_GBK" w:hAnsi="方正黑体_GBK" w:cs="方正黑体_GBK" w:hint="eastAsia"/>
          <w:color w:val="000000"/>
          <w:szCs w:val="32"/>
        </w:rPr>
      </w:pPr>
      <w:r>
        <w:rPr>
          <w:rFonts w:ascii="方正黑体_GBK" w:eastAsia="方正黑体_GBK" w:hAnsi="方正黑体_GBK" w:cs="方正黑体_GBK" w:hint="eastAsia"/>
          <w:color w:val="000000"/>
          <w:szCs w:val="32"/>
        </w:rPr>
        <w:t>附件2</w:t>
      </w:r>
    </w:p>
    <w:p w:rsidR="002222FD" w:rsidRDefault="002222FD" w:rsidP="002222FD">
      <w:pPr>
        <w:spacing w:line="7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高价值专利培育计划项目年度评估</w:t>
      </w:r>
    </w:p>
    <w:p w:rsidR="002222FD" w:rsidRDefault="002222FD" w:rsidP="002222FD">
      <w:pPr>
        <w:spacing w:line="7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评分标准</w:t>
      </w:r>
    </w:p>
    <w:tbl>
      <w:tblPr>
        <w:tblStyle w:val="a4"/>
        <w:tblW w:w="0" w:type="auto"/>
        <w:jc w:val="center"/>
        <w:tblInd w:w="0" w:type="dxa"/>
        <w:tblLayout w:type="fixed"/>
        <w:tblLook w:val="0000"/>
      </w:tblPr>
      <w:tblGrid>
        <w:gridCol w:w="1301"/>
        <w:gridCol w:w="1568"/>
        <w:gridCol w:w="730"/>
        <w:gridCol w:w="5469"/>
      </w:tblGrid>
      <w:tr w:rsidR="002222FD" w:rsidTr="00642ED6">
        <w:trPr>
          <w:jc w:val="center"/>
        </w:trPr>
        <w:tc>
          <w:tcPr>
            <w:tcW w:w="1301" w:type="dxa"/>
            <w:vAlign w:val="center"/>
          </w:tcPr>
          <w:p w:rsidR="002222FD" w:rsidRDefault="002222FD" w:rsidP="00642ED6">
            <w:pPr>
              <w:spacing w:line="360" w:lineRule="exact"/>
              <w:jc w:val="center"/>
              <w:rPr>
                <w:rFonts w:ascii="Times New Roman" w:eastAsia="方正黑体_GBK" w:hAnsi="Times New Roman"/>
                <w:color w:val="000000"/>
                <w:sz w:val="24"/>
              </w:rPr>
            </w:pPr>
            <w:r>
              <w:rPr>
                <w:rFonts w:ascii="Times New Roman" w:eastAsia="方正黑体_GBK" w:hAnsi="Times New Roman"/>
                <w:color w:val="000000"/>
                <w:sz w:val="24"/>
              </w:rPr>
              <w:t>一级</w:t>
            </w:r>
          </w:p>
          <w:p w:rsidR="002222FD" w:rsidRDefault="002222FD" w:rsidP="00642ED6">
            <w:pPr>
              <w:spacing w:line="360" w:lineRule="exact"/>
              <w:jc w:val="center"/>
              <w:rPr>
                <w:rFonts w:ascii="Times New Roman" w:eastAsia="方正黑体_GBK" w:hAnsi="Times New Roman"/>
                <w:color w:val="000000"/>
                <w:sz w:val="24"/>
              </w:rPr>
            </w:pPr>
            <w:r>
              <w:rPr>
                <w:rFonts w:ascii="Times New Roman" w:eastAsia="方正黑体_GBK" w:hAnsi="Times New Roman"/>
                <w:color w:val="000000"/>
                <w:sz w:val="24"/>
              </w:rPr>
              <w:t>指标</w:t>
            </w:r>
          </w:p>
        </w:tc>
        <w:tc>
          <w:tcPr>
            <w:tcW w:w="1568" w:type="dxa"/>
            <w:vAlign w:val="center"/>
          </w:tcPr>
          <w:p w:rsidR="002222FD" w:rsidRDefault="002222FD" w:rsidP="00642ED6">
            <w:pPr>
              <w:spacing w:line="360" w:lineRule="exact"/>
              <w:jc w:val="center"/>
              <w:rPr>
                <w:rFonts w:ascii="Times New Roman" w:eastAsia="方正黑体_GBK" w:hAnsi="Times New Roman"/>
                <w:color w:val="000000"/>
                <w:sz w:val="24"/>
              </w:rPr>
            </w:pPr>
            <w:r>
              <w:rPr>
                <w:rFonts w:ascii="Times New Roman" w:eastAsia="方正黑体_GBK" w:hAnsi="Times New Roman"/>
                <w:color w:val="000000"/>
                <w:sz w:val="24"/>
              </w:rPr>
              <w:t>二级指标</w:t>
            </w:r>
          </w:p>
        </w:tc>
        <w:tc>
          <w:tcPr>
            <w:tcW w:w="730" w:type="dxa"/>
            <w:vAlign w:val="center"/>
          </w:tcPr>
          <w:p w:rsidR="002222FD" w:rsidRDefault="002222FD" w:rsidP="00642ED6">
            <w:pPr>
              <w:spacing w:line="360" w:lineRule="exact"/>
              <w:jc w:val="center"/>
              <w:rPr>
                <w:rFonts w:ascii="Times New Roman" w:eastAsia="方正黑体_GBK" w:hAnsi="Times New Roman"/>
                <w:color w:val="000000"/>
                <w:sz w:val="24"/>
              </w:rPr>
            </w:pPr>
            <w:r>
              <w:rPr>
                <w:rFonts w:ascii="Times New Roman" w:eastAsia="方正黑体_GBK" w:hAnsi="Times New Roman"/>
                <w:color w:val="000000"/>
                <w:sz w:val="24"/>
              </w:rPr>
              <w:t>分值</w:t>
            </w:r>
          </w:p>
        </w:tc>
        <w:tc>
          <w:tcPr>
            <w:tcW w:w="5469" w:type="dxa"/>
            <w:vAlign w:val="center"/>
          </w:tcPr>
          <w:p w:rsidR="002222FD" w:rsidRDefault="002222FD" w:rsidP="00642ED6">
            <w:pPr>
              <w:spacing w:line="360" w:lineRule="exact"/>
              <w:jc w:val="center"/>
              <w:rPr>
                <w:rFonts w:ascii="Times New Roman" w:eastAsia="方正黑体_GBK" w:hAnsi="Times New Roman"/>
                <w:color w:val="000000"/>
                <w:sz w:val="24"/>
              </w:rPr>
            </w:pPr>
            <w:r>
              <w:rPr>
                <w:rFonts w:ascii="Times New Roman" w:eastAsia="方正黑体_GBK" w:hAnsi="Times New Roman"/>
                <w:color w:val="000000"/>
                <w:sz w:val="24"/>
              </w:rPr>
              <w:t>评分标准</w:t>
            </w:r>
          </w:p>
        </w:tc>
      </w:tr>
      <w:tr w:rsidR="002222FD" w:rsidTr="00642ED6">
        <w:trPr>
          <w:trHeight w:val="895"/>
          <w:jc w:val="center"/>
        </w:trPr>
        <w:tc>
          <w:tcPr>
            <w:tcW w:w="1301"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示范中心运转情况</w:t>
            </w:r>
          </w:p>
        </w:tc>
        <w:tc>
          <w:tcPr>
            <w:tcW w:w="1568"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机构运转情况</w:t>
            </w:r>
          </w:p>
        </w:tc>
        <w:tc>
          <w:tcPr>
            <w:tcW w:w="730"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10</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领导机构和工作团队组建合理、完善，团队人员和对应职责清晰明确。较好的评</w:t>
            </w:r>
            <w:r>
              <w:rPr>
                <w:rFonts w:ascii="Times New Roman" w:hAnsi="Times New Roman"/>
                <w:color w:val="000000"/>
                <w:sz w:val="24"/>
              </w:rPr>
              <w:t>4-5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895"/>
          <w:jc w:val="center"/>
        </w:trPr>
        <w:tc>
          <w:tcPr>
            <w:tcW w:w="1301" w:type="dxa"/>
            <w:vMerge/>
            <w:vAlign w:val="center"/>
          </w:tcPr>
          <w:p w:rsidR="002222FD" w:rsidRDefault="002222FD" w:rsidP="00642ED6">
            <w:pPr>
              <w:spacing w:line="360" w:lineRule="exact"/>
              <w:rPr>
                <w:rFonts w:ascii="Times New Roman" w:hAnsi="Times New Roman"/>
                <w:color w:val="000000"/>
              </w:rPr>
            </w:pPr>
          </w:p>
        </w:tc>
        <w:tc>
          <w:tcPr>
            <w:tcW w:w="1568" w:type="dxa"/>
            <w:vMerge/>
            <w:vAlign w:val="center"/>
          </w:tcPr>
          <w:p w:rsidR="002222FD" w:rsidRDefault="002222FD" w:rsidP="00642ED6">
            <w:pPr>
              <w:spacing w:line="360" w:lineRule="exact"/>
              <w:rPr>
                <w:rFonts w:ascii="Times New Roman" w:hAnsi="Times New Roman"/>
                <w:color w:val="000000"/>
              </w:rPr>
            </w:pPr>
          </w:p>
        </w:tc>
        <w:tc>
          <w:tcPr>
            <w:tcW w:w="730" w:type="dxa"/>
            <w:vMerge/>
            <w:vAlign w:val="center"/>
          </w:tcPr>
          <w:p w:rsidR="002222FD" w:rsidRDefault="002222FD" w:rsidP="00642ED6">
            <w:pPr>
              <w:spacing w:line="360" w:lineRule="exact"/>
              <w:rPr>
                <w:rFonts w:ascii="Times New Roman" w:hAnsi="Times New Roman"/>
                <w:color w:val="000000"/>
              </w:rPr>
            </w:pP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产学研</w:t>
            </w:r>
            <w:proofErr w:type="gramStart"/>
            <w:r>
              <w:rPr>
                <w:rFonts w:ascii="Times New Roman" w:hAnsi="Times New Roman"/>
                <w:color w:val="000000"/>
                <w:sz w:val="24"/>
              </w:rPr>
              <w:t>服合作</w:t>
            </w:r>
            <w:proofErr w:type="gramEnd"/>
            <w:r>
              <w:rPr>
                <w:rFonts w:ascii="Times New Roman" w:hAnsi="Times New Roman"/>
                <w:color w:val="000000"/>
                <w:sz w:val="24"/>
              </w:rPr>
              <w:t>顺畅，各方能够严格按照合作协议开展工作。较好的评</w:t>
            </w:r>
            <w:r>
              <w:rPr>
                <w:rFonts w:ascii="Times New Roman" w:hAnsi="Times New Roman"/>
                <w:color w:val="000000"/>
                <w:sz w:val="24"/>
              </w:rPr>
              <w:t>4-5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制度建设情况</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hint="eastAsia"/>
                <w:color w:val="000000"/>
                <w:sz w:val="24"/>
              </w:rPr>
              <w:t>5</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按合同要求建立管理制度，各项制度内容完善、明确，能够有效运转并产生积极推动作用。较好的评</w:t>
            </w:r>
            <w:r>
              <w:rPr>
                <w:rFonts w:ascii="Times New Roman" w:hAnsi="Times New Roman" w:hint="eastAsia"/>
                <w:color w:val="000000"/>
                <w:sz w:val="24"/>
              </w:rPr>
              <w:t>4</w:t>
            </w:r>
            <w:r>
              <w:rPr>
                <w:rFonts w:ascii="Times New Roman" w:hAnsi="Times New Roman"/>
                <w:color w:val="000000"/>
                <w:sz w:val="24"/>
              </w:rPr>
              <w:t>-</w:t>
            </w:r>
            <w:r>
              <w:rPr>
                <w:rFonts w:ascii="Times New Roman" w:hAnsi="Times New Roman" w:hint="eastAsia"/>
                <w:color w:val="000000"/>
                <w:sz w:val="24"/>
              </w:rPr>
              <w:t>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w:t>
            </w:r>
            <w:r>
              <w:rPr>
                <w:rFonts w:ascii="Times New Roman" w:hAnsi="Times New Roman" w:hint="eastAsia"/>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956"/>
          <w:jc w:val="center"/>
        </w:trPr>
        <w:tc>
          <w:tcPr>
            <w:tcW w:w="1301"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年度项目任务完成情况</w:t>
            </w:r>
          </w:p>
        </w:tc>
        <w:tc>
          <w:tcPr>
            <w:tcW w:w="1568"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各项项目任务推进情况</w:t>
            </w:r>
          </w:p>
        </w:tc>
        <w:tc>
          <w:tcPr>
            <w:tcW w:w="730"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hint="eastAsia"/>
                <w:color w:val="000000"/>
                <w:sz w:val="24"/>
              </w:rPr>
              <w:t>2</w:t>
            </w:r>
            <w:r>
              <w:rPr>
                <w:rFonts w:ascii="Times New Roman" w:hAnsi="Times New Roman"/>
                <w:color w:val="000000"/>
                <w:sz w:val="24"/>
              </w:rPr>
              <w:t>0</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制定详细、可行的项目实施方案及明确的任务分工和</w:t>
            </w:r>
            <w:proofErr w:type="gramStart"/>
            <w:r>
              <w:rPr>
                <w:rFonts w:ascii="Times New Roman" w:hAnsi="Times New Roman"/>
                <w:color w:val="000000"/>
                <w:sz w:val="24"/>
              </w:rPr>
              <w:t>序时</w:t>
            </w:r>
            <w:proofErr w:type="gramEnd"/>
            <w:r>
              <w:rPr>
                <w:rFonts w:ascii="Times New Roman" w:hAnsi="Times New Roman"/>
                <w:color w:val="000000"/>
                <w:sz w:val="24"/>
              </w:rPr>
              <w:t>进度安排。较好的评</w:t>
            </w:r>
            <w:r>
              <w:rPr>
                <w:rFonts w:ascii="Times New Roman" w:hAnsi="Times New Roman" w:hint="eastAsia"/>
                <w:color w:val="000000"/>
                <w:sz w:val="24"/>
              </w:rPr>
              <w:t>4</w:t>
            </w:r>
            <w:r>
              <w:rPr>
                <w:rFonts w:ascii="Times New Roman" w:hAnsi="Times New Roman"/>
                <w:color w:val="000000"/>
                <w:sz w:val="24"/>
              </w:rPr>
              <w:t>-</w:t>
            </w:r>
            <w:r>
              <w:rPr>
                <w:rFonts w:ascii="Times New Roman" w:hAnsi="Times New Roman" w:hint="eastAsia"/>
                <w:color w:val="000000"/>
                <w:sz w:val="24"/>
              </w:rPr>
              <w:t>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w:t>
            </w:r>
            <w:r>
              <w:rPr>
                <w:rFonts w:ascii="Times New Roman" w:hAnsi="Times New Roman" w:hint="eastAsia"/>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796"/>
          <w:jc w:val="center"/>
        </w:trPr>
        <w:tc>
          <w:tcPr>
            <w:tcW w:w="1301" w:type="dxa"/>
            <w:vMerge/>
            <w:vAlign w:val="center"/>
          </w:tcPr>
          <w:p w:rsidR="002222FD" w:rsidRDefault="002222FD" w:rsidP="00642ED6">
            <w:pPr>
              <w:spacing w:line="360" w:lineRule="exact"/>
              <w:rPr>
                <w:rFonts w:ascii="Times New Roman" w:hAnsi="Times New Roman"/>
                <w:color w:val="000000"/>
              </w:rPr>
            </w:pPr>
          </w:p>
        </w:tc>
        <w:tc>
          <w:tcPr>
            <w:tcW w:w="1568" w:type="dxa"/>
            <w:vMerge/>
            <w:vAlign w:val="center"/>
          </w:tcPr>
          <w:p w:rsidR="002222FD" w:rsidRDefault="002222FD" w:rsidP="00642ED6">
            <w:pPr>
              <w:spacing w:line="360" w:lineRule="exact"/>
              <w:rPr>
                <w:rFonts w:ascii="Times New Roman" w:hAnsi="Times New Roman"/>
                <w:color w:val="000000"/>
              </w:rPr>
            </w:pPr>
          </w:p>
        </w:tc>
        <w:tc>
          <w:tcPr>
            <w:tcW w:w="730" w:type="dxa"/>
            <w:vMerge/>
            <w:vAlign w:val="center"/>
          </w:tcPr>
          <w:p w:rsidR="002222FD" w:rsidRDefault="002222FD" w:rsidP="00642ED6">
            <w:pPr>
              <w:spacing w:line="360" w:lineRule="exact"/>
              <w:rPr>
                <w:rFonts w:ascii="Times New Roman" w:hAnsi="Times New Roman"/>
                <w:color w:val="000000"/>
              </w:rPr>
            </w:pP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按照项目合同书和项目实施方案，完成年度所有项目任务。较好的评</w:t>
            </w:r>
            <w:r>
              <w:rPr>
                <w:rFonts w:ascii="Times New Roman" w:hAnsi="Times New Roman" w:hint="eastAsia"/>
                <w:color w:val="000000"/>
                <w:sz w:val="24"/>
              </w:rPr>
              <w:t>7</w:t>
            </w:r>
            <w:r>
              <w:rPr>
                <w:rFonts w:ascii="Times New Roman" w:hAnsi="Times New Roman"/>
                <w:color w:val="000000"/>
                <w:sz w:val="24"/>
              </w:rPr>
              <w:t>-10</w:t>
            </w:r>
            <w:r>
              <w:rPr>
                <w:rFonts w:ascii="Times New Roman" w:hAnsi="Times New Roman"/>
                <w:color w:val="000000"/>
                <w:sz w:val="24"/>
              </w:rPr>
              <w:t>分，一般的评</w:t>
            </w:r>
            <w:r>
              <w:rPr>
                <w:rFonts w:ascii="Times New Roman" w:hAnsi="Times New Roman" w:hint="eastAsia"/>
                <w:color w:val="000000"/>
                <w:sz w:val="24"/>
              </w:rPr>
              <w:t>3</w:t>
            </w:r>
            <w:r>
              <w:rPr>
                <w:rFonts w:ascii="Times New Roman" w:hAnsi="Times New Roman"/>
                <w:color w:val="000000"/>
                <w:sz w:val="24"/>
              </w:rPr>
              <w:t>-</w:t>
            </w:r>
            <w:r>
              <w:rPr>
                <w:rFonts w:ascii="Times New Roman" w:hAnsi="Times New Roman" w:hint="eastAsia"/>
                <w:color w:val="000000"/>
                <w:sz w:val="24"/>
              </w:rPr>
              <w:t>6</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0-2</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956"/>
          <w:jc w:val="center"/>
        </w:trPr>
        <w:tc>
          <w:tcPr>
            <w:tcW w:w="1301" w:type="dxa"/>
            <w:vMerge/>
            <w:vAlign w:val="center"/>
          </w:tcPr>
          <w:p w:rsidR="002222FD" w:rsidRDefault="002222FD" w:rsidP="00642ED6">
            <w:pPr>
              <w:spacing w:line="360" w:lineRule="exact"/>
              <w:rPr>
                <w:rFonts w:ascii="Times New Roman" w:hAnsi="Times New Roman"/>
                <w:color w:val="000000"/>
                <w:sz w:val="24"/>
              </w:rPr>
            </w:pPr>
          </w:p>
        </w:tc>
        <w:tc>
          <w:tcPr>
            <w:tcW w:w="1568" w:type="dxa"/>
            <w:vMerge/>
            <w:vAlign w:val="center"/>
          </w:tcPr>
          <w:p w:rsidR="002222FD" w:rsidRDefault="002222FD" w:rsidP="00642ED6">
            <w:pPr>
              <w:spacing w:line="360" w:lineRule="exact"/>
              <w:rPr>
                <w:rFonts w:ascii="Times New Roman" w:hAnsi="Times New Roman"/>
                <w:color w:val="000000"/>
                <w:sz w:val="24"/>
              </w:rPr>
            </w:pPr>
          </w:p>
        </w:tc>
        <w:tc>
          <w:tcPr>
            <w:tcW w:w="730" w:type="dxa"/>
            <w:vMerge/>
            <w:vAlign w:val="center"/>
          </w:tcPr>
          <w:p w:rsidR="002222FD" w:rsidRDefault="002222FD" w:rsidP="00642ED6">
            <w:pPr>
              <w:spacing w:line="360" w:lineRule="exact"/>
              <w:rPr>
                <w:rFonts w:ascii="Times New Roman" w:hAnsi="Times New Roman"/>
                <w:color w:val="000000"/>
                <w:sz w:val="24"/>
              </w:rPr>
            </w:pP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年度任务中涉及的专利态势分析报告、专利布局报告等符合项目要求，能有效指导高价值专利培育工作。较好的评</w:t>
            </w:r>
            <w:r>
              <w:rPr>
                <w:rFonts w:ascii="Times New Roman" w:hAnsi="Times New Roman" w:hint="eastAsia"/>
                <w:color w:val="000000"/>
                <w:sz w:val="24"/>
              </w:rPr>
              <w:t>4</w:t>
            </w:r>
            <w:r>
              <w:rPr>
                <w:rFonts w:ascii="Times New Roman" w:hAnsi="Times New Roman"/>
                <w:color w:val="000000"/>
                <w:sz w:val="24"/>
              </w:rPr>
              <w:t>-</w:t>
            </w:r>
            <w:r>
              <w:rPr>
                <w:rFonts w:ascii="Times New Roman" w:hAnsi="Times New Roman" w:hint="eastAsia"/>
                <w:color w:val="000000"/>
                <w:sz w:val="24"/>
              </w:rPr>
              <w:t>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w:t>
            </w:r>
            <w:r>
              <w:rPr>
                <w:rFonts w:ascii="Times New Roman" w:hAnsi="Times New Roman" w:hint="eastAsia"/>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895"/>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绩效目标完成情况</w:t>
            </w:r>
          </w:p>
        </w:tc>
        <w:tc>
          <w:tcPr>
            <w:tcW w:w="730"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hint="eastAsia"/>
                <w:color w:val="000000"/>
                <w:sz w:val="24"/>
              </w:rPr>
              <w:t>3</w:t>
            </w:r>
            <w:r>
              <w:rPr>
                <w:rFonts w:ascii="Times New Roman" w:hAnsi="Times New Roman"/>
                <w:color w:val="000000"/>
                <w:sz w:val="24"/>
              </w:rPr>
              <w:t>0</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国内专利申请量、</w:t>
            </w:r>
            <w:r>
              <w:rPr>
                <w:rFonts w:ascii="Times New Roman" w:hAnsi="Times New Roman"/>
                <w:color w:val="000000"/>
                <w:sz w:val="24"/>
              </w:rPr>
              <w:t>PCT</w:t>
            </w:r>
            <w:r>
              <w:rPr>
                <w:rFonts w:ascii="Times New Roman" w:hAnsi="Times New Roman"/>
                <w:color w:val="000000"/>
                <w:sz w:val="24"/>
              </w:rPr>
              <w:t>申请量、专利授权量等指标符合年度合同约定的数量和比例。较好的评</w:t>
            </w:r>
            <w:r>
              <w:rPr>
                <w:rFonts w:ascii="Times New Roman" w:hAnsi="Times New Roman" w:hint="eastAsia"/>
                <w:color w:val="000000"/>
                <w:sz w:val="24"/>
              </w:rPr>
              <w:t>16</w:t>
            </w:r>
            <w:r>
              <w:rPr>
                <w:rFonts w:ascii="Times New Roman" w:hAnsi="Times New Roman"/>
                <w:color w:val="000000"/>
                <w:sz w:val="24"/>
              </w:rPr>
              <w:t>-</w:t>
            </w:r>
            <w:r>
              <w:rPr>
                <w:rFonts w:ascii="Times New Roman" w:hAnsi="Times New Roman" w:hint="eastAsia"/>
                <w:color w:val="000000"/>
                <w:sz w:val="24"/>
              </w:rPr>
              <w:t>2</w:t>
            </w:r>
            <w:r>
              <w:rPr>
                <w:rFonts w:ascii="Times New Roman" w:hAnsi="Times New Roman"/>
                <w:color w:val="000000"/>
                <w:sz w:val="24"/>
              </w:rPr>
              <w:t>0</w:t>
            </w:r>
            <w:r>
              <w:rPr>
                <w:rFonts w:ascii="Times New Roman" w:hAnsi="Times New Roman"/>
                <w:color w:val="000000"/>
                <w:sz w:val="24"/>
              </w:rPr>
              <w:t>分，一般的评</w:t>
            </w:r>
            <w:r>
              <w:rPr>
                <w:rFonts w:ascii="Times New Roman" w:hAnsi="Times New Roman" w:hint="eastAsia"/>
                <w:color w:val="000000"/>
                <w:sz w:val="24"/>
              </w:rPr>
              <w:t>6</w:t>
            </w:r>
            <w:r>
              <w:rPr>
                <w:rFonts w:ascii="Times New Roman" w:hAnsi="Times New Roman"/>
                <w:color w:val="000000"/>
                <w:sz w:val="24"/>
              </w:rPr>
              <w:t>-</w:t>
            </w:r>
            <w:r>
              <w:rPr>
                <w:rFonts w:ascii="Times New Roman" w:hAnsi="Times New Roman" w:hint="eastAsia"/>
                <w:color w:val="000000"/>
                <w:sz w:val="24"/>
              </w:rPr>
              <w:t>1</w:t>
            </w:r>
            <w:r>
              <w:rPr>
                <w:rFonts w:ascii="Times New Roman" w:hAnsi="Times New Roman"/>
                <w:color w:val="000000"/>
                <w:sz w:val="24"/>
              </w:rPr>
              <w:t>5</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0-5</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trHeight w:val="895"/>
          <w:jc w:val="center"/>
        </w:trPr>
        <w:tc>
          <w:tcPr>
            <w:tcW w:w="1301" w:type="dxa"/>
            <w:vMerge/>
            <w:vAlign w:val="center"/>
          </w:tcPr>
          <w:p w:rsidR="002222FD" w:rsidRDefault="002222FD" w:rsidP="00642ED6">
            <w:pPr>
              <w:spacing w:line="360" w:lineRule="exact"/>
              <w:rPr>
                <w:rFonts w:ascii="Times New Roman" w:hAnsi="Times New Roman"/>
                <w:color w:val="000000"/>
              </w:rPr>
            </w:pPr>
          </w:p>
        </w:tc>
        <w:tc>
          <w:tcPr>
            <w:tcW w:w="1568" w:type="dxa"/>
            <w:vMerge/>
            <w:vAlign w:val="center"/>
          </w:tcPr>
          <w:p w:rsidR="002222FD" w:rsidRDefault="002222FD" w:rsidP="00642ED6">
            <w:pPr>
              <w:spacing w:line="360" w:lineRule="exact"/>
              <w:rPr>
                <w:rFonts w:ascii="Times New Roman" w:hAnsi="Times New Roman"/>
                <w:color w:val="000000"/>
              </w:rPr>
            </w:pPr>
          </w:p>
        </w:tc>
        <w:tc>
          <w:tcPr>
            <w:tcW w:w="730" w:type="dxa"/>
            <w:vMerge/>
            <w:vAlign w:val="center"/>
          </w:tcPr>
          <w:p w:rsidR="002222FD" w:rsidRDefault="002222FD" w:rsidP="00642ED6">
            <w:pPr>
              <w:spacing w:line="360" w:lineRule="exact"/>
              <w:rPr>
                <w:rFonts w:ascii="Times New Roman" w:hAnsi="Times New Roman"/>
                <w:color w:val="000000"/>
              </w:rPr>
            </w:pP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主要技术领域高价值专利（申请）运用数量和运用率达到年度任务要求。较好的评</w:t>
            </w:r>
            <w:r>
              <w:rPr>
                <w:rFonts w:ascii="Times New Roman" w:hAnsi="Times New Roman" w:hint="eastAsia"/>
                <w:color w:val="000000"/>
                <w:sz w:val="24"/>
              </w:rPr>
              <w:t>7</w:t>
            </w:r>
            <w:r>
              <w:rPr>
                <w:rFonts w:ascii="Times New Roman" w:hAnsi="Times New Roman"/>
                <w:color w:val="000000"/>
                <w:sz w:val="24"/>
              </w:rPr>
              <w:t>-10</w:t>
            </w:r>
            <w:r>
              <w:rPr>
                <w:rFonts w:ascii="Times New Roman" w:hAnsi="Times New Roman"/>
                <w:color w:val="000000"/>
                <w:sz w:val="24"/>
              </w:rPr>
              <w:t>分，一般的评</w:t>
            </w:r>
            <w:r>
              <w:rPr>
                <w:rFonts w:ascii="Times New Roman" w:hAnsi="Times New Roman" w:hint="eastAsia"/>
                <w:color w:val="000000"/>
                <w:sz w:val="24"/>
              </w:rPr>
              <w:t>3</w:t>
            </w:r>
            <w:r>
              <w:rPr>
                <w:rFonts w:ascii="Times New Roman" w:hAnsi="Times New Roman"/>
                <w:color w:val="000000"/>
                <w:sz w:val="24"/>
              </w:rPr>
              <w:t>-</w:t>
            </w:r>
            <w:r>
              <w:rPr>
                <w:rFonts w:ascii="Times New Roman" w:hAnsi="Times New Roman" w:hint="eastAsia"/>
                <w:color w:val="000000"/>
                <w:sz w:val="24"/>
              </w:rPr>
              <w:t>6</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0-2</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社会效益</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10</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年度专利转移转化直接或间接经济效益达到合同任务要求，对企业创新发展和产业转型升级具有一定的实效。较好的评</w:t>
            </w:r>
            <w:r>
              <w:rPr>
                <w:rFonts w:ascii="Times New Roman" w:hAnsi="Times New Roman" w:hint="eastAsia"/>
                <w:color w:val="000000"/>
                <w:sz w:val="24"/>
              </w:rPr>
              <w:t>7</w:t>
            </w:r>
            <w:r>
              <w:rPr>
                <w:rFonts w:ascii="Times New Roman" w:hAnsi="Times New Roman"/>
                <w:color w:val="000000"/>
                <w:sz w:val="24"/>
              </w:rPr>
              <w:t>-10</w:t>
            </w:r>
            <w:r>
              <w:rPr>
                <w:rFonts w:ascii="Times New Roman" w:hAnsi="Times New Roman"/>
                <w:color w:val="000000"/>
                <w:sz w:val="24"/>
              </w:rPr>
              <w:t>分，一般的评</w:t>
            </w:r>
            <w:r>
              <w:rPr>
                <w:rFonts w:ascii="Times New Roman" w:hAnsi="Times New Roman" w:hint="eastAsia"/>
                <w:color w:val="000000"/>
                <w:sz w:val="24"/>
              </w:rPr>
              <w:t>3</w:t>
            </w:r>
            <w:r>
              <w:rPr>
                <w:rFonts w:ascii="Times New Roman" w:hAnsi="Times New Roman"/>
                <w:color w:val="000000"/>
                <w:sz w:val="24"/>
              </w:rPr>
              <w:t>-</w:t>
            </w:r>
            <w:r>
              <w:rPr>
                <w:rFonts w:ascii="Times New Roman" w:hAnsi="Times New Roman" w:hint="eastAsia"/>
                <w:color w:val="000000"/>
                <w:sz w:val="24"/>
              </w:rPr>
              <w:t>6</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0-2</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经费使用</w:t>
            </w: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自筹经费到</w:t>
            </w:r>
            <w:r>
              <w:rPr>
                <w:rFonts w:ascii="Times New Roman" w:hAnsi="Times New Roman"/>
                <w:color w:val="000000"/>
                <w:sz w:val="24"/>
              </w:rPr>
              <w:lastRenderedPageBreak/>
              <w:t>位率</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lastRenderedPageBreak/>
              <w:t>5</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自筹经费及时足额到位，需拨付合作单位的经费及</w:t>
            </w:r>
            <w:r>
              <w:rPr>
                <w:rFonts w:ascii="Times New Roman" w:hAnsi="Times New Roman"/>
                <w:color w:val="000000"/>
                <w:sz w:val="24"/>
              </w:rPr>
              <w:lastRenderedPageBreak/>
              <w:t>时足额拨付。较好的评</w:t>
            </w:r>
            <w:r>
              <w:rPr>
                <w:rFonts w:ascii="Times New Roman" w:hAnsi="Times New Roman"/>
                <w:color w:val="000000"/>
                <w:sz w:val="24"/>
              </w:rPr>
              <w:t>4-5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经费支出规范性</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1</w:t>
            </w:r>
            <w:r>
              <w:rPr>
                <w:rFonts w:ascii="Times New Roman" w:hAnsi="Times New Roman" w:hint="eastAsia"/>
                <w:color w:val="000000"/>
                <w:sz w:val="24"/>
              </w:rPr>
              <w:t>5</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经费使用符合财政经费使用规定，财政经费按预算支出，自筹经费支出真实、合理。较好的评</w:t>
            </w:r>
            <w:r>
              <w:rPr>
                <w:rFonts w:ascii="Times New Roman" w:hAnsi="Times New Roman" w:hint="eastAsia"/>
                <w:color w:val="000000"/>
                <w:sz w:val="24"/>
              </w:rPr>
              <w:t>11</w:t>
            </w:r>
            <w:r>
              <w:rPr>
                <w:rFonts w:ascii="Times New Roman" w:hAnsi="Times New Roman"/>
                <w:color w:val="000000"/>
                <w:sz w:val="24"/>
              </w:rPr>
              <w:t>-1</w:t>
            </w:r>
            <w:r>
              <w:rPr>
                <w:rFonts w:ascii="Times New Roman" w:hAnsi="Times New Roman" w:hint="eastAsia"/>
                <w:color w:val="000000"/>
                <w:sz w:val="24"/>
              </w:rPr>
              <w:t>5</w:t>
            </w:r>
            <w:r>
              <w:rPr>
                <w:rFonts w:ascii="Times New Roman" w:hAnsi="Times New Roman"/>
                <w:color w:val="000000"/>
                <w:sz w:val="24"/>
              </w:rPr>
              <w:t>分，一般的评</w:t>
            </w:r>
            <w:r>
              <w:rPr>
                <w:rFonts w:ascii="Times New Roman" w:hAnsi="Times New Roman" w:hint="eastAsia"/>
                <w:color w:val="000000"/>
                <w:sz w:val="24"/>
              </w:rPr>
              <w:t>6</w:t>
            </w:r>
            <w:r>
              <w:rPr>
                <w:rFonts w:ascii="Times New Roman" w:hAnsi="Times New Roman"/>
                <w:color w:val="000000"/>
                <w:sz w:val="24"/>
              </w:rPr>
              <w:t>-</w:t>
            </w:r>
            <w:r>
              <w:rPr>
                <w:rFonts w:ascii="Times New Roman" w:hAnsi="Times New Roman" w:hint="eastAsia"/>
                <w:color w:val="000000"/>
                <w:sz w:val="24"/>
              </w:rPr>
              <w:t>10</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0-5</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经费是否单独核算</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5</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单独建账或在单位账册中设立单独科目对项目经费收入支出进行归集和核算。较好的评</w:t>
            </w:r>
            <w:r>
              <w:rPr>
                <w:rFonts w:ascii="Times New Roman" w:hAnsi="Times New Roman"/>
                <w:color w:val="000000"/>
                <w:sz w:val="24"/>
              </w:rPr>
              <w:t>4-5</w:t>
            </w:r>
            <w:r>
              <w:rPr>
                <w:rFonts w:ascii="Times New Roman" w:hAnsi="Times New Roman"/>
                <w:color w:val="000000"/>
                <w:sz w:val="24"/>
              </w:rPr>
              <w:t>分，一般的评</w:t>
            </w:r>
            <w:r>
              <w:rPr>
                <w:rFonts w:ascii="Times New Roman" w:hAnsi="Times New Roman" w:hint="eastAsia"/>
                <w:color w:val="000000"/>
                <w:sz w:val="24"/>
              </w:rPr>
              <w:t>2</w:t>
            </w:r>
            <w:r>
              <w:rPr>
                <w:rFonts w:ascii="Times New Roman" w:hAnsi="Times New Roman"/>
                <w:color w:val="000000"/>
                <w:sz w:val="24"/>
              </w:rPr>
              <w:t>-3</w:t>
            </w:r>
            <w:r>
              <w:rPr>
                <w:rFonts w:ascii="Times New Roman" w:hAnsi="Times New Roman"/>
                <w:color w:val="000000"/>
                <w:sz w:val="24"/>
              </w:rPr>
              <w:t>分</w:t>
            </w:r>
            <w:r>
              <w:rPr>
                <w:rFonts w:ascii="Times New Roman" w:hAnsi="Times New Roman" w:hint="eastAsia"/>
                <w:color w:val="000000"/>
                <w:sz w:val="24"/>
              </w:rPr>
              <w:t>，较差的评</w:t>
            </w:r>
            <w:r>
              <w:rPr>
                <w:rFonts w:ascii="Times New Roman" w:hAnsi="Times New Roman" w:hint="eastAsia"/>
                <w:color w:val="000000"/>
                <w:sz w:val="24"/>
              </w:rPr>
              <w:t>0-1</w:t>
            </w:r>
            <w:r>
              <w:rPr>
                <w:rFonts w:ascii="Times New Roman" w:hAnsi="Times New Roman" w:hint="eastAsia"/>
                <w:color w:val="000000"/>
                <w:sz w:val="24"/>
              </w:rPr>
              <w:t>分</w:t>
            </w:r>
            <w:r>
              <w:rPr>
                <w:rFonts w:ascii="Times New Roman" w:hAnsi="Times New Roman"/>
                <w:color w:val="000000"/>
                <w:sz w:val="24"/>
              </w:rPr>
              <w:t>。</w:t>
            </w:r>
          </w:p>
        </w:tc>
      </w:tr>
      <w:tr w:rsidR="002222FD" w:rsidTr="00642ED6">
        <w:trPr>
          <w:jc w:val="center"/>
        </w:trPr>
        <w:tc>
          <w:tcPr>
            <w:tcW w:w="1301"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加分项</w:t>
            </w: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亮点工作</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3</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项目实施与承担单位实际需求相结合，产生亮点特色工作的，视情加</w:t>
            </w:r>
            <w:r>
              <w:rPr>
                <w:rFonts w:ascii="Times New Roman" w:hAnsi="Times New Roman"/>
                <w:color w:val="000000"/>
                <w:sz w:val="24"/>
              </w:rPr>
              <w:t>1-3</w:t>
            </w:r>
            <w:r>
              <w:rPr>
                <w:rFonts w:ascii="Times New Roman" w:hAnsi="Times New Roman"/>
                <w:color w:val="000000"/>
                <w:sz w:val="24"/>
              </w:rPr>
              <w:t>分。</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绩效评价</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3</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省财政或省局组织的项目绩效评价中，获点名表扬的，视情加</w:t>
            </w:r>
            <w:r>
              <w:rPr>
                <w:rFonts w:ascii="Times New Roman" w:hAnsi="Times New Roman"/>
                <w:color w:val="000000"/>
                <w:sz w:val="24"/>
              </w:rPr>
              <w:t>1-3</w:t>
            </w:r>
            <w:r>
              <w:rPr>
                <w:rFonts w:ascii="Times New Roman" w:hAnsi="Times New Roman"/>
                <w:color w:val="000000"/>
                <w:sz w:val="24"/>
              </w:rPr>
              <w:t>分。</w:t>
            </w:r>
          </w:p>
        </w:tc>
      </w:tr>
      <w:tr w:rsidR="002222FD" w:rsidTr="00642ED6">
        <w:trPr>
          <w:jc w:val="center"/>
        </w:trPr>
        <w:tc>
          <w:tcPr>
            <w:tcW w:w="1301" w:type="dxa"/>
            <w:vMerge w:val="restart"/>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扣分项</w:t>
            </w: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绩效评价</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3</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拒绝参与项目绩效评价或在绩效评价中出现违规行为的，视情扣</w:t>
            </w:r>
            <w:r>
              <w:rPr>
                <w:rFonts w:ascii="Times New Roman" w:hAnsi="Times New Roman"/>
                <w:color w:val="000000"/>
                <w:sz w:val="24"/>
              </w:rPr>
              <w:t>1-3</w:t>
            </w:r>
            <w:r>
              <w:rPr>
                <w:rFonts w:ascii="Times New Roman" w:hAnsi="Times New Roman"/>
                <w:color w:val="000000"/>
                <w:sz w:val="24"/>
              </w:rPr>
              <w:t>分。</w:t>
            </w:r>
            <w:r>
              <w:rPr>
                <w:rFonts w:ascii="Times New Roman" w:hAnsi="Times New Roman"/>
                <w:color w:val="000000"/>
                <w:sz w:val="24"/>
              </w:rPr>
              <w:t xml:space="preserve"> </w:t>
            </w:r>
          </w:p>
        </w:tc>
      </w:tr>
      <w:tr w:rsidR="002222FD" w:rsidTr="00642ED6">
        <w:trPr>
          <w:jc w:val="center"/>
        </w:trPr>
        <w:tc>
          <w:tcPr>
            <w:tcW w:w="1301" w:type="dxa"/>
            <w:vMerge/>
            <w:vAlign w:val="center"/>
          </w:tcPr>
          <w:p w:rsidR="002222FD" w:rsidRDefault="002222FD" w:rsidP="00642ED6">
            <w:pPr>
              <w:spacing w:line="360" w:lineRule="exact"/>
              <w:jc w:val="center"/>
              <w:rPr>
                <w:rFonts w:ascii="Times New Roman" w:hAnsi="Times New Roman"/>
                <w:color w:val="000000"/>
                <w:sz w:val="24"/>
              </w:rPr>
            </w:pPr>
          </w:p>
        </w:tc>
        <w:tc>
          <w:tcPr>
            <w:tcW w:w="1568"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color w:val="000000"/>
                <w:sz w:val="24"/>
              </w:rPr>
              <w:t>失信行为</w:t>
            </w:r>
          </w:p>
        </w:tc>
        <w:tc>
          <w:tcPr>
            <w:tcW w:w="730" w:type="dxa"/>
            <w:vAlign w:val="center"/>
          </w:tcPr>
          <w:p w:rsidR="002222FD" w:rsidRDefault="002222FD" w:rsidP="00642ED6">
            <w:pPr>
              <w:spacing w:line="360" w:lineRule="exact"/>
              <w:jc w:val="center"/>
              <w:rPr>
                <w:rFonts w:ascii="Times New Roman" w:hAnsi="Times New Roman"/>
                <w:color w:val="000000"/>
                <w:sz w:val="24"/>
              </w:rPr>
            </w:pPr>
            <w:r>
              <w:rPr>
                <w:rFonts w:ascii="Times New Roman" w:hAnsi="Times New Roman" w:hint="eastAsia"/>
                <w:color w:val="000000"/>
                <w:sz w:val="24"/>
              </w:rPr>
              <w:t>5</w:t>
            </w:r>
          </w:p>
        </w:tc>
        <w:tc>
          <w:tcPr>
            <w:tcW w:w="5469" w:type="dxa"/>
          </w:tcPr>
          <w:p w:rsidR="002222FD" w:rsidRDefault="002222FD" w:rsidP="00642ED6">
            <w:pPr>
              <w:spacing w:line="360" w:lineRule="exact"/>
              <w:rPr>
                <w:rFonts w:ascii="Times New Roman" w:hAnsi="Times New Roman"/>
                <w:color w:val="000000"/>
                <w:sz w:val="24"/>
              </w:rPr>
            </w:pPr>
            <w:r>
              <w:rPr>
                <w:rFonts w:ascii="Times New Roman" w:hAnsi="Times New Roman"/>
                <w:color w:val="000000"/>
                <w:sz w:val="24"/>
              </w:rPr>
              <w:t>在年度评估中存在弄虚作假等失信行为</w:t>
            </w:r>
            <w:r>
              <w:rPr>
                <w:rFonts w:ascii="Times New Roman" w:hAnsi="Times New Roman" w:hint="eastAsia"/>
                <w:color w:val="000000"/>
                <w:sz w:val="24"/>
              </w:rPr>
              <w:t>的，</w:t>
            </w:r>
            <w:r>
              <w:rPr>
                <w:rFonts w:ascii="Times New Roman" w:hAnsi="Times New Roman"/>
                <w:color w:val="000000"/>
                <w:sz w:val="24"/>
              </w:rPr>
              <w:t>视情扣</w:t>
            </w:r>
            <w:r>
              <w:rPr>
                <w:rFonts w:ascii="Times New Roman" w:hAnsi="Times New Roman"/>
                <w:color w:val="000000"/>
                <w:sz w:val="24"/>
              </w:rPr>
              <w:t>1-</w:t>
            </w:r>
            <w:r>
              <w:rPr>
                <w:rFonts w:ascii="Times New Roman" w:hAnsi="Times New Roman" w:hint="eastAsia"/>
                <w:color w:val="000000"/>
                <w:sz w:val="24"/>
              </w:rPr>
              <w:t>5</w:t>
            </w:r>
            <w:r>
              <w:rPr>
                <w:rFonts w:ascii="Times New Roman" w:hAnsi="Times New Roman"/>
                <w:color w:val="000000"/>
                <w:sz w:val="24"/>
              </w:rPr>
              <w:t>分。</w:t>
            </w:r>
          </w:p>
        </w:tc>
      </w:tr>
    </w:tbl>
    <w:p w:rsidR="003A2D67" w:rsidRPr="002222FD" w:rsidRDefault="003A2D67" w:rsidP="002222FD"/>
    <w:sectPr w:rsidR="003A2D67" w:rsidRPr="002222FD" w:rsidSect="003A2D67">
      <w:footerReference w:type="even" r:id="rId5"/>
      <w:footerReference w:type="default" r:id="rId6"/>
      <w:footerReference w:type="firs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3BF3">
    <w:pPr>
      <w:pStyle w:val="a3"/>
      <w:ind w:leftChars="100" w:left="320"/>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3BF3">
    <w:pPr>
      <w:pStyle w:val="a3"/>
      <w:wordWrap w:val="0"/>
      <w:ind w:rightChars="100" w:right="320"/>
      <w:jc w:val="right"/>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2B3BF3">
                <w:pPr>
                  <w:pStyle w:val="a3"/>
                  <w:wordWrap w:val="0"/>
                  <w:ind w:leftChars="100" w:left="320" w:rightChars="100" w:right="320"/>
                  <w:jc w:val="right"/>
                </w:pP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222FD" w:rsidRPr="002222FD">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3BF3">
    <w:pPr>
      <w:pStyle w:val="a3"/>
      <w:wordWrap w:val="0"/>
      <w:ind w:rightChars="100" w:right="320"/>
      <w:jc w:val="right"/>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000000" w:rsidRDefault="002B3BF3">
                <w:pPr>
                  <w:pStyle w:val="a3"/>
                  <w:wordWrap w:val="0"/>
                  <w:ind w:rightChars="100" w:right="320"/>
                  <w:jc w:val="right"/>
                </w:pP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940E15" w:rsidRPr="00940E15">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40E15"/>
    <w:rsid w:val="002222FD"/>
    <w:rsid w:val="002B3BF3"/>
    <w:rsid w:val="00366CCE"/>
    <w:rsid w:val="003A2D67"/>
    <w:rsid w:val="00940E15"/>
    <w:rsid w:val="00CC5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15"/>
    <w:pPr>
      <w:widowControl w:val="0"/>
    </w:pPr>
    <w:rPr>
      <w:rFonts w:ascii="Calibri" w:eastAsia="方正仿宋_GBK"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E15"/>
    <w:pPr>
      <w:tabs>
        <w:tab w:val="center" w:pos="4153"/>
        <w:tab w:val="right" w:pos="8306"/>
      </w:tabs>
      <w:snapToGrid w:val="0"/>
    </w:pPr>
    <w:rPr>
      <w:sz w:val="18"/>
      <w:szCs w:val="18"/>
    </w:rPr>
  </w:style>
  <w:style w:type="character" w:customStyle="1" w:styleId="Char">
    <w:name w:val="页脚 Char"/>
    <w:basedOn w:val="a0"/>
    <w:link w:val="a3"/>
    <w:uiPriority w:val="99"/>
    <w:rsid w:val="00940E15"/>
    <w:rPr>
      <w:rFonts w:ascii="Calibri" w:eastAsia="方正仿宋_GBK" w:hAnsi="Calibri" w:cs="Times New Roman"/>
      <w:sz w:val="18"/>
      <w:szCs w:val="18"/>
    </w:rPr>
  </w:style>
  <w:style w:type="table" w:styleId="a4">
    <w:name w:val="Table Grid"/>
    <w:basedOn w:val="a1"/>
    <w:qFormat/>
    <w:rsid w:val="002222FD"/>
    <w:pPr>
      <w:widowControl w:val="0"/>
      <w:jc w:val="both"/>
    </w:pPr>
    <w:rPr>
      <w:rFonts w:ascii="等线" w:eastAsia="等线" w:hAnsi="等线"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Company>Win</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2020-11-19T10:13:00Z</dcterms:created>
  <dcterms:modified xsi:type="dcterms:W3CDTF">2020-11-19T10:13:00Z</dcterms:modified>
</cp:coreProperties>
</file>