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附件2</w:t>
      </w:r>
    </w:p>
    <w:p>
      <w:pPr>
        <w:spacing w:line="570" w:lineRule="exact"/>
        <w:rPr>
          <w:rFonts w:eastAsia="方正黑体_GBK"/>
          <w:snapToGrid w:val="0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废止的规范性文件目录（7件）</w:t>
      </w:r>
    </w:p>
    <w:p>
      <w:pPr>
        <w:spacing w:line="570" w:lineRule="exact"/>
        <w:rPr>
          <w:rFonts w:ascii="方正小标宋_GBK" w:eastAsia="方正小标宋_GBK"/>
          <w:snapToGrid w:val="0"/>
          <w:kern w:val="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1.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江苏省专利行政机关处理专利案件技术鉴定规则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苏知发〔2003〕55号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2.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江苏省专利行政处罚听证规则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苏知发〔2003〕56号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3.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江苏省专利代理机构管理办法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、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江苏省专利代理人管理办法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苏知协发〔2003〕33号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4.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江苏省著名商标认定标准（试行）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苏工商标〔2009〕115号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5.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江苏省注册商标专用权质押贷款管理暂行办法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苏工商标〔2009〕214号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6.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江苏省著名商标认定工作规程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苏工商标〔2010〕193号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pPr>
        <w:spacing w:line="570" w:lineRule="exact"/>
        <w:ind w:firstLine="640" w:firstLineChars="200"/>
        <w:rPr>
          <w:rFonts w:ascii="宋体" w:hAnsi="宋体" w:eastAsia="方正仿宋_GBK"/>
          <w:snapToGrid w:val="0"/>
          <w:kern w:val="0"/>
          <w:sz w:val="32"/>
          <w:szCs w:val="32"/>
        </w:rPr>
      </w:pP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 xml:space="preserve">7. 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江苏省专利代理机构星级评定暂行办法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（</w:t>
      </w:r>
      <w:r>
        <w:rPr>
          <w:rFonts w:ascii="宋体" w:hAnsi="宋体" w:eastAsia="方正仿宋_GBK"/>
          <w:snapToGrid w:val="0"/>
          <w:kern w:val="0"/>
          <w:sz w:val="32"/>
          <w:szCs w:val="32"/>
        </w:rPr>
        <w:t>苏知发〔2012〕77号</w:t>
      </w:r>
      <w:r>
        <w:rPr>
          <w:rFonts w:hint="eastAsia" w:ascii="宋体" w:hAnsi="宋体" w:eastAsia="方正仿宋_GBK"/>
          <w:snapToGrid w:val="0"/>
          <w:kern w:val="0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427D0"/>
    <w:rsid w:val="221F3F9B"/>
    <w:rsid w:val="486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2019-09-12T02:42:00Z</dcterms:created>
  <dc:creator>Carino 7</dc:creator>
  <cp:lastModifiedBy>Carino 7</cp:lastModifiedBy>
  <dcterms:modified xsi:type="dcterms:W3CDTF">2019-09-12T02:57:31Z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