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附件1</w:t>
      </w:r>
    </w:p>
    <w:p>
      <w:pPr>
        <w:spacing w:line="600" w:lineRule="exact"/>
        <w:rPr>
          <w:rFonts w:ascii="方正小标宋_GBK" w:eastAsia="方正小标宋_GBK"/>
          <w:snapToGrid w:val="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继续有效的规范性文件目录（5件）</w:t>
      </w:r>
    </w:p>
    <w:p>
      <w:pPr>
        <w:spacing w:line="570" w:lineRule="exact"/>
        <w:rPr>
          <w:rFonts w:ascii="方正小标宋_GBK" w:eastAsia="方正小标宋_GBK"/>
          <w:snapToGrid w:val="0"/>
          <w:kern w:val="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1.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江苏省商标印制管理工作规范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苏工商标〔200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5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〕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300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hint="eastAsia"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2.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江苏省定牌加工企业商标</w:t>
      </w:r>
      <w:bookmarkStart w:id="0" w:name="_GoBack"/>
      <w:bookmarkEnd w:id="0"/>
      <w:r>
        <w:rPr>
          <w:rFonts w:ascii="宋体" w:hAnsi="宋体" w:eastAsia="方正仿宋_GBK"/>
          <w:snapToGrid w:val="0"/>
          <w:kern w:val="0"/>
          <w:sz w:val="32"/>
          <w:szCs w:val="32"/>
        </w:rPr>
        <w:t>使用行为规范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苏工商标〔2005〕301号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3.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江苏省专利行政执法规程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苏知规〔2010〕1号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4.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江苏省商标管理程序中驰名商标认定申请工作规范（试行）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苏工商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标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〔2012〕222号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小标宋_GBK"/>
          <w:snapToGrid w:val="0"/>
          <w:kern w:val="0"/>
          <w:sz w:val="44"/>
          <w:szCs w:val="44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5.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江苏省专利发明人奖励办法实施细则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苏知规〔2016〕1号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27D0"/>
    <w:rsid w:val="486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2019-09-12T02:42:00Z</dcterms:created>
  <dc:creator>Carino 7</dc:creator>
  <cp:lastModifiedBy>Carino 7</cp:lastModifiedBy>
  <dcterms:modified xsi:type="dcterms:W3CDTF">2019-09-12T02:56:57Z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