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276747">
      <w:pPr>
        <w:widowControl/>
        <w:spacing w:line="570" w:lineRule="exact"/>
        <w:jc w:val="left"/>
        <w:rPr>
          <w:rFonts w:hint="default" w:ascii="宋体" w:hAnsi="宋体" w:eastAsia="方正黑体_GBK" w:cs="方正黑体_GBK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方正黑体_GBK" w:cs="方正黑体_GBK"/>
          <w:b w:val="0"/>
          <w:bCs w:val="0"/>
          <w:color w:val="000000"/>
          <w:kern w:val="0"/>
          <w:sz w:val="32"/>
          <w:szCs w:val="32"/>
        </w:rPr>
        <w:t>附件</w:t>
      </w:r>
      <w:r>
        <w:rPr>
          <w:rFonts w:hint="eastAsia" w:ascii="宋体" w:hAnsi="宋体" w:eastAsia="方正黑体_GBK" w:cs="方正黑体_GBK"/>
          <w:b w:val="0"/>
          <w:bCs w:val="0"/>
          <w:color w:val="000000"/>
          <w:kern w:val="0"/>
          <w:sz w:val="32"/>
          <w:szCs w:val="32"/>
          <w:lang w:val="en-US" w:eastAsia="zh-CN"/>
        </w:rPr>
        <w:t>2-2</w:t>
      </w:r>
    </w:p>
    <w:p w14:paraId="0AE4C120">
      <w:pPr>
        <w:widowControl/>
        <w:spacing w:line="570" w:lineRule="exact"/>
        <w:jc w:val="left"/>
        <w:rPr>
          <w:rFonts w:hint="eastAsia" w:ascii="宋体" w:hAnsi="宋体" w:eastAsia="方正黑体_GBK" w:cs="方正黑体_GBK"/>
          <w:b w:val="0"/>
          <w:bCs w:val="0"/>
          <w:color w:val="000000"/>
          <w:kern w:val="0"/>
          <w:sz w:val="32"/>
          <w:szCs w:val="32"/>
          <w:lang w:val="en-US" w:eastAsia="zh-CN"/>
        </w:rPr>
      </w:pPr>
    </w:p>
    <w:p w14:paraId="1CFCDCFE">
      <w:pPr>
        <w:widowControl/>
        <w:spacing w:line="570" w:lineRule="exact"/>
        <w:jc w:val="center"/>
        <w:rPr>
          <w:rFonts w:hint="eastAsia" w:ascii="宋体" w:hAnsi="宋体" w:eastAsia="方正小标宋_GBK" w:cs="方正小标宋_GBK"/>
          <w:b w:val="0"/>
          <w:bCs w:val="0"/>
          <w:color w:val="000000"/>
          <w:kern w:val="0"/>
          <w:sz w:val="44"/>
          <w:szCs w:val="44"/>
        </w:rPr>
      </w:pPr>
      <w:r>
        <w:rPr>
          <w:rFonts w:hint="eastAsia" w:ascii="宋体" w:hAnsi="宋体" w:eastAsia="方正小标宋_GBK" w:cs="方正小标宋_GBK"/>
          <w:b w:val="0"/>
          <w:bCs w:val="0"/>
          <w:color w:val="000000"/>
          <w:kern w:val="0"/>
          <w:sz w:val="44"/>
          <w:szCs w:val="44"/>
        </w:rPr>
        <w:t>2026年省商标品牌培育和保护（区域品牌）</w:t>
      </w:r>
    </w:p>
    <w:p w14:paraId="5981334C">
      <w:pPr>
        <w:widowControl/>
        <w:spacing w:line="570" w:lineRule="exact"/>
        <w:jc w:val="center"/>
        <w:rPr>
          <w:rFonts w:ascii="宋体" w:hAnsi="宋体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宋体" w:hAnsi="宋体" w:eastAsia="方正小标宋_GBK" w:cs="方正小标宋_GBK"/>
          <w:b w:val="0"/>
          <w:bCs w:val="0"/>
          <w:color w:val="000000"/>
          <w:kern w:val="0"/>
          <w:sz w:val="44"/>
          <w:szCs w:val="44"/>
        </w:rPr>
        <w:t>项目申报指南</w:t>
      </w:r>
    </w:p>
    <w:p w14:paraId="6D8E9A55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</w:pPr>
    </w:p>
    <w:p w14:paraId="59E3840E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>一、支持重点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 </w:t>
      </w:r>
    </w:p>
    <w:p w14:paraId="0D253CC8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我省重点发展的制造业、现代服务业、新型农业区域品牌（不含地理标志）。</w:t>
      </w:r>
    </w:p>
    <w:p w14:paraId="14868F5B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>二、申报主体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 </w:t>
      </w:r>
    </w:p>
    <w:p w14:paraId="4C038287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设区市、县（市、区）人民政府。 </w:t>
      </w:r>
    </w:p>
    <w:p w14:paraId="440091A2">
      <w:pPr>
        <w:widowControl/>
        <w:spacing w:line="570" w:lineRule="exact"/>
        <w:ind w:firstLine="640" w:firstLineChars="200"/>
        <w:jc w:val="left"/>
        <w:rPr>
          <w:rFonts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 xml:space="preserve">三、申报条件 </w:t>
      </w:r>
    </w:p>
    <w:p w14:paraId="2BD44ACC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（一）相关产业属于我省重点培育的产业领域，并且是地方特色优势产业，拥有一批经营状况良好的市场主体。 </w:t>
      </w:r>
    </w:p>
    <w:p w14:paraId="4F04094E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（二）拟培育的区域品牌具有公益属性，有良好的产业基础和社会认可度，区域品牌标识已投入使用，有一定的知名度、美誉度和影响力，并已注册相关商标。 </w:t>
      </w:r>
    </w:p>
    <w:p w14:paraId="1C111028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（三）当地人民政府高度重视相关区域品牌建设，能够为本项目实施提供必要的经费、人员、物资等保障，并建立了政产研服金协同推进的区域品牌培育机制。 </w:t>
      </w:r>
    </w:p>
    <w:p w14:paraId="7EC3CF5A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本项目不支持地理标志申报。 </w:t>
      </w:r>
    </w:p>
    <w:p w14:paraId="123AA577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>四、项目任务和绩效目标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 </w:t>
      </w:r>
    </w:p>
    <w:p w14:paraId="45454D8A">
      <w:pPr>
        <w:widowControl/>
        <w:spacing w:line="570" w:lineRule="exact"/>
        <w:ind w:firstLine="720" w:firstLineChars="200"/>
        <w:jc w:val="left"/>
        <w:rPr>
          <w:rFonts w:ascii="宋体" w:hAnsi="宋体" w:eastAsia="方正楷体_GBK" w:cs="方正楷体_GBK"/>
          <w:b w:val="0"/>
          <w:bCs w:val="0"/>
          <w:sz w:val="36"/>
          <w:szCs w:val="28"/>
        </w:rPr>
      </w:pPr>
      <w:r>
        <w:rPr>
          <w:rFonts w:hint="eastAsia" w:ascii="宋体" w:hAnsi="宋体" w:eastAsia="方正楷体_GBK" w:cs="方正楷体_GBK"/>
          <w:b w:val="0"/>
          <w:bCs w:val="0"/>
          <w:sz w:val="36"/>
          <w:szCs w:val="28"/>
        </w:rPr>
        <w:t xml:space="preserve">（一）项目任务 </w:t>
      </w:r>
    </w:p>
    <w:p w14:paraId="0F95D4AE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1.健全区域品牌管理机制。建立区域品牌建设领导机制，明确区域品牌管理和运营主体，配备专业人员和专项经费，推动相关协会、商会等行业组织建设。加强顶层设计，开展市场调研，根据区域总体发展战略、产业特色、资源禀赋、文化传统等因素，制定《区域品牌发展战略规划》，确立区域品牌定位，确定发展方向、目标和路径。制定《区域品牌使用管理规则》，明确区域品牌使用人的权利和义务，完善准入和退出机制。积极参与国家“千企百城”商标品牌价值提升行动。 </w:t>
      </w:r>
    </w:p>
    <w:p w14:paraId="31F8F645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2.打造区域品牌良好形象。设计构建区域品牌形象识别系 </w:t>
      </w:r>
    </w:p>
    <w:p w14:paraId="6A976473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统，召开区域品牌发布会，解读品牌定位、内涵和发展规划。制定商标注册和保护方案，推动区域品牌主要标识注册为集体商标或证明商标，合理进行商标布局。规范区域品牌标识授权使用行为，推进相关生产经营活动规范化、标准化，建立健全检验监督制度和标准，强化产品和服务质量保障。挖掘区域品牌文化内涵，塑造鲜明、独特、积极的品牌文化，树立区域品牌核心价值。 </w:t>
      </w:r>
    </w:p>
    <w:p w14:paraId="4B07FF87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3.开展区域品牌营销推广。制定并实施《区域品牌营销传播工作方案》。制作区域品牌宣传片、宣传图册、文创产品等，充分利用各种媒体媒介宣传推广，在市级以上主流媒体进行宣传报道。结合实际，打造品牌展示馆、文化节等宣传推广平台。积极参与国内外文旅、展销、商贸、论坛等活动，不断提升区域品牌知名度、美誉度和影响力。 </w:t>
      </w:r>
    </w:p>
    <w:p w14:paraId="1D82D766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4.推动区域品牌共建共享。鼓励相关企业特别是龙头骨干企业积极使用区域品牌相关标识，促进区域品牌与企业品牌联动发展、优势叠加、相辅相成，形成具有地方产业特色的品牌矩阵。结合地方实际，建设产业集群品牌培育基地、品牌孵化园区等平台载体，设立市场化商标品牌发展基金，引导金融机构开展商标保险、质押融资等服务，支持区域内相关企业加强商标品牌建设，加快创新发展步伐。开展知识产权“产才对接”行动，引入战略规划、品牌运营、专利导航等高层次人才资源，为相关企业提供知识产权精准对接服务。在区域内建设至少一家知识产权工作站（商标品牌指导站），建立企业对接联系机制，围绕商标品牌建设等开展深度服务。 </w:t>
      </w:r>
    </w:p>
    <w:p w14:paraId="7F54D2CF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5.加强商标品牌维权保护。建立区域品牌动态监测机制，阻止商标抢注、侵权假冒等行为，及时处置品牌危机和舆情事件，切实维护区域品牌形象和声誉。加强对区域品牌使用主体的商标保护，建立商标监管和重点保护名录，及时发现和处理商标侵权假冒行为，为加快发展品牌经济营造良好环境。</w:t>
      </w:r>
    </w:p>
    <w:p w14:paraId="140E4FD7">
      <w:pPr>
        <w:widowControl/>
        <w:spacing w:line="570" w:lineRule="exact"/>
        <w:ind w:firstLine="640" w:firstLineChars="200"/>
        <w:jc w:val="left"/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6.人工智能赋能品牌发展。围绕区域产业特色，利用AI辅助设计具有辨识度的集体商标、证明商标及宣传语，构建“母品牌+子品牌”协同发展的商标体系。运用AI大数据研判产业发展方向与市场竞争格局，科学规划区域品牌发展战略，明确品牌核心价值与目标市场定位。运用人工智能整合区域技术创新资源，推动共性技术攻关与标准体系建设，以品质一致性夯实区域品牌信誉根基。将区域产品与服务优势转化为消费者可感知的品牌价值表达，通过统一规范的品牌信息供给，推动区域品牌在人工智能分发平台中优先“被引用、被信任、被推荐”，实现品牌形象的精准触达与广泛认知。利用AI技术建立区域品牌侵权预警与溯源机制，严厉打击冒用、滥用区域公用品牌行为，切实维护区域品牌整体声誉。</w:t>
      </w:r>
    </w:p>
    <w:p w14:paraId="0A8E3ABD">
      <w:pPr>
        <w:widowControl/>
        <w:spacing w:line="570" w:lineRule="exact"/>
        <w:ind w:firstLine="720" w:firstLineChars="200"/>
        <w:jc w:val="left"/>
        <w:rPr>
          <w:rFonts w:ascii="宋体" w:hAnsi="宋体" w:eastAsia="方正楷体_GBK" w:cs="方正楷体_GBK"/>
          <w:b w:val="0"/>
          <w:bCs w:val="0"/>
          <w:sz w:val="36"/>
          <w:szCs w:val="28"/>
        </w:rPr>
      </w:pPr>
      <w:r>
        <w:rPr>
          <w:rFonts w:hint="eastAsia" w:ascii="宋体" w:hAnsi="宋体" w:eastAsia="方正楷体_GBK" w:cs="方正楷体_GBK"/>
          <w:b w:val="0"/>
          <w:bCs w:val="0"/>
          <w:sz w:val="36"/>
          <w:szCs w:val="28"/>
        </w:rPr>
        <w:t xml:space="preserve">（二）绩效目标 </w:t>
      </w:r>
    </w:p>
    <w:p w14:paraId="1EF4C2B0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1.建成管理规范、内涵丰富、运转有效的区域品牌培育体 </w:t>
      </w:r>
    </w:p>
    <w:p w14:paraId="63E5EF0A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系，品牌管理上形成一个机构、一个规划、一套规则，品牌架构上形成一个区域品牌主商标、一套形象识别系统、一系列企业或产品品牌，品牌营销上形成一个推广计划、一个宣传片、一个特色活动。 </w:t>
      </w:r>
    </w:p>
    <w:p w14:paraId="070E7E27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2.使用区域品牌的企业数量增长10%以上，相关产业产值、 </w:t>
      </w:r>
    </w:p>
    <w:p w14:paraId="0A3E52AD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带动就业人数、从业人员收入均实现增长，实现良好的经济效益和社会效益。消费者满意度及区域品牌知名度、美誉度、影响力进一步提升，实施期内未发生负面舆情。 </w:t>
      </w:r>
    </w:p>
    <w:p w14:paraId="61A7F626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3.在国家“千企百城”商标品牌价值提升行动评估中取得 </w:t>
      </w:r>
    </w:p>
    <w:p w14:paraId="6322C6BF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较好成绩，形成可复制推广的区域品牌培育典型案例。 </w:t>
      </w:r>
    </w:p>
    <w:p w14:paraId="1E15C015">
      <w:pPr>
        <w:widowControl/>
        <w:spacing w:line="570" w:lineRule="exact"/>
        <w:ind w:firstLine="640" w:firstLineChars="200"/>
        <w:jc w:val="left"/>
        <w:rPr>
          <w:rFonts w:ascii="方正黑体_GBK" w:hAnsi="方正黑体_GBK" w:eastAsia="方正黑体_GBK" w:cs="方正黑体_GBK"/>
          <w:b w:val="0"/>
          <w:bC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 xml:space="preserve">五、组织方式 </w:t>
      </w:r>
    </w:p>
    <w:p w14:paraId="0836856C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（一）申报单位根据要求准备申报材料，签订信用承诺书， </w:t>
      </w:r>
    </w:p>
    <w:p w14:paraId="5B236E8E">
      <w:pPr>
        <w:widowControl/>
        <w:spacing w:line="570" w:lineRule="exact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按属地原则逐级上报。县（市、区）知识产权局报送至设区市知识产权局；设区市知识产权局进行初审，严格把关、择优推荐，加盖公章后，报省知识产权局。 </w:t>
      </w:r>
    </w:p>
    <w:p w14:paraId="6A1A0072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hint="eastAsia" w:ascii="宋体" w:hAnsi="宋体" w:eastAsia="方正仿宋_GBK" w:cs="方正仿宋_GBK"/>
          <w:b w:val="0"/>
          <w:bCs w:val="0"/>
          <w:sz w:val="32"/>
        </w:rPr>
      </w:pPr>
      <w:r>
        <w:rPr>
          <w:rFonts w:hint="eastAsia" w:ascii="宋体" w:hAnsi="宋体" w:eastAsia="方正仿宋_GBK" w:cs="方正仿宋_GBK"/>
          <w:b w:val="0"/>
          <w:bCs w:val="0"/>
          <w:sz w:val="32"/>
        </w:rPr>
        <w:t>（二）省知识产权局组织评审，研究确定入库项目单位。</w:t>
      </w:r>
    </w:p>
    <w:p w14:paraId="5B36BA7C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 w:val="0"/>
          <w:bCs w:val="0"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 w:val="0"/>
          <w:bCs w:val="0"/>
          <w:sz w:val="32"/>
        </w:rPr>
        <w:t>（三）项目实施期限为</w:t>
      </w:r>
      <w:r>
        <w:rPr>
          <w:rFonts w:hint="eastAsia" w:ascii="宋体" w:hAnsi="宋体" w:eastAsia="方正仿宋_GBK" w:cs="宋体"/>
          <w:b w:val="0"/>
          <w:bCs w:val="0"/>
          <w:sz w:val="32"/>
        </w:rPr>
        <w:t>2</w:t>
      </w:r>
      <w:r>
        <w:rPr>
          <w:rFonts w:hint="eastAsia" w:ascii="宋体" w:hAnsi="宋体" w:eastAsia="方正仿宋_GBK" w:cs="方正仿宋_GBK"/>
          <w:b w:val="0"/>
          <w:bCs w:val="0"/>
          <w:sz w:val="32"/>
        </w:rPr>
        <w:t>年，省知识产权局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按有关规定组织中期检查和验收。</w:t>
      </w:r>
    </w:p>
    <w:p w14:paraId="5D401148">
      <w:pPr>
        <w:widowControl/>
        <w:spacing w:line="570" w:lineRule="exact"/>
        <w:ind w:firstLine="640" w:firstLineChars="200"/>
        <w:jc w:val="left"/>
        <w:rPr>
          <w:rFonts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</w:rPr>
        <w:t xml:space="preserve">六、申报要求 </w:t>
      </w:r>
    </w:p>
    <w:p w14:paraId="7A3029D1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（一）正在承担省商标品牌培育和保护（地理标志）项目的地区，不得申报本项目。 </w:t>
      </w:r>
    </w:p>
    <w:p w14:paraId="7433DF2B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  <w:lang w:eastAsia="zh-CN"/>
        </w:rPr>
        <w:t>三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）各设区市推荐项目不超过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项。 </w:t>
      </w:r>
    </w:p>
    <w:p w14:paraId="6C3F3280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  <w:lang w:eastAsia="zh-CN"/>
        </w:rPr>
        <w:t>三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）申报材料应真实、准确、规范，如发现弄虚作假、侵犯他人知识产权等行为的，一经查实，将取消项目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  <w:lang w:eastAsia="zh-CN"/>
        </w:rPr>
        <w:t>入库</w:t>
      </w:r>
      <w:bookmarkStart w:id="0" w:name="_GoBack"/>
      <w:bookmarkEnd w:id="0"/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资格。 </w:t>
      </w:r>
    </w:p>
    <w:p w14:paraId="6EBBA277">
      <w:pPr>
        <w:widowControl/>
        <w:spacing w:line="570" w:lineRule="exact"/>
        <w:ind w:firstLine="640" w:firstLineChars="200"/>
        <w:jc w:val="left"/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  <w:lang w:eastAsia="zh-CN"/>
        </w:rPr>
        <w:t>四</w:t>
      </w: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/>
          <w:snapToGrid w:val="0"/>
          <w:kern w:val="0"/>
          <w:sz w:val="32"/>
          <w:szCs w:val="32"/>
        </w:rPr>
        <w:t>全面推行无纸化申报，申报单位</w:t>
      </w:r>
      <w:r>
        <w:rPr>
          <w:rFonts w:hint="eastAsia" w:ascii="宋体" w:hAnsi="宋体" w:eastAsia="方正仿宋_GBK"/>
          <w:b w:val="0"/>
          <w:bCs/>
          <w:sz w:val="32"/>
        </w:rPr>
        <w:t>登录“</w:t>
      </w:r>
      <w:r>
        <w:rPr>
          <w:rFonts w:hint="eastAsia" w:ascii="宋体" w:hAnsi="宋体" w:eastAsia="方正仿宋_GBK"/>
          <w:b w:val="0"/>
          <w:bCs/>
          <w:color w:val="auto"/>
          <w:sz w:val="32"/>
          <w:szCs w:val="32"/>
        </w:rPr>
        <w:t>江苏省知识产权数智创新赋能平台</w:t>
      </w:r>
      <w:r>
        <w:rPr>
          <w:rFonts w:hint="eastAsia" w:ascii="宋体" w:hAnsi="宋体" w:eastAsia="方正仿宋_GBK"/>
          <w:b w:val="0"/>
          <w:bCs/>
          <w:sz w:val="32"/>
        </w:rPr>
        <w:t>”（https://www.jsipp.cn），通过“一站式管理——申报与管理”提交项目申报材料，信用承诺书签字盖章扫描后，以附件形式上传，其他附件材料应传尽传。</w:t>
      </w:r>
    </w:p>
    <w:p w14:paraId="6690E477">
      <w:pPr>
        <w:widowControl/>
        <w:spacing w:line="570" w:lineRule="exact"/>
        <w:ind w:firstLine="640" w:firstLineChars="200"/>
        <w:jc w:val="left"/>
        <w:rPr>
          <w:rFonts w:hint="eastAsia" w:ascii="宋体" w:hAnsi="宋体" w:eastAsia="方正仿宋_GBK" w:cs="方正仿宋_GBK"/>
          <w:b w:val="0"/>
          <w:bCs/>
          <w:sz w:val="32"/>
        </w:rPr>
      </w:pPr>
      <w:r>
        <w:rPr>
          <w:rFonts w:hint="eastAsia" w:ascii="宋体" w:hAnsi="宋体" w:eastAsia="方正仿宋_GBK" w:cs="方正仿宋_GBK"/>
          <w:b w:val="0"/>
          <w:bCs/>
          <w:sz w:val="32"/>
        </w:rPr>
        <w:t>（五）项目申报截止日期为</w:t>
      </w:r>
      <w:r>
        <w:rPr>
          <w:rFonts w:hint="eastAsia" w:ascii="宋体" w:hAnsi="宋体" w:eastAsia="方正仿宋_GBK" w:cs="宋体"/>
          <w:b w:val="0"/>
          <w:bCs/>
          <w:sz w:val="32"/>
          <w:szCs w:val="32"/>
        </w:rPr>
        <w:t>2026</w:t>
      </w:r>
      <w:r>
        <w:rPr>
          <w:rFonts w:hint="eastAsia" w:ascii="宋体" w:hAnsi="宋体" w:eastAsia="方正仿宋_GBK" w:cs="方正仿宋_GBK"/>
          <w:b w:val="0"/>
          <w:bCs/>
          <w:sz w:val="32"/>
          <w:szCs w:val="32"/>
        </w:rPr>
        <w:t>年</w:t>
      </w:r>
      <w:r>
        <w:rPr>
          <w:rFonts w:hint="eastAsia" w:ascii="宋体" w:hAnsi="宋体" w:eastAsia="方正仿宋_GBK" w:cs="方正仿宋_GBK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 w:cs="方正仿宋_GBK"/>
          <w:b w:val="0"/>
          <w:bCs/>
          <w:sz w:val="32"/>
          <w:szCs w:val="32"/>
        </w:rPr>
        <w:t>月</w:t>
      </w:r>
      <w:r>
        <w:rPr>
          <w:rFonts w:hint="eastAsia" w:ascii="宋体" w:hAnsi="宋体" w:eastAsia="方正仿宋_GBK" w:cs="方正仿宋_GBK"/>
          <w:b w:val="0"/>
          <w:bCs/>
          <w:sz w:val="32"/>
          <w:szCs w:val="32"/>
          <w:lang w:val="en-US" w:eastAsia="zh-CN"/>
        </w:rPr>
        <w:t>31</w:t>
      </w:r>
      <w:r>
        <w:rPr>
          <w:rFonts w:hint="eastAsia" w:ascii="宋体" w:hAnsi="宋体" w:eastAsia="方正仿宋_GBK" w:cs="方正仿宋_GBK"/>
          <w:b w:val="0"/>
          <w:bCs/>
          <w:sz w:val="32"/>
          <w:szCs w:val="32"/>
        </w:rPr>
        <w:t>日</w:t>
      </w:r>
      <w:r>
        <w:rPr>
          <w:rFonts w:hint="eastAsia" w:ascii="宋体" w:hAnsi="宋体" w:eastAsia="方正仿宋_GBK" w:cs="方正仿宋_GBK"/>
          <w:b w:val="0"/>
          <w:bCs/>
          <w:sz w:val="32"/>
        </w:rPr>
        <w:t>。</w:t>
      </w:r>
    </w:p>
    <w:p w14:paraId="14109AD3">
      <w:pPr>
        <w:widowControl/>
        <w:spacing w:line="570" w:lineRule="exact"/>
        <w:ind w:firstLine="640" w:firstLineChars="200"/>
        <w:jc w:val="left"/>
        <w:rPr>
          <w:rFonts w:hint="eastAsia" w:ascii="宋体" w:hAnsi="宋体" w:eastAsia="方正仿宋_GBK" w:cs="方正仿宋_GBK"/>
          <w:b w:val="0"/>
          <w:bCs/>
          <w:sz w:val="32"/>
        </w:rPr>
      </w:pPr>
    </w:p>
    <w:p w14:paraId="3B3D6C0C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 xml:space="preserve">联系人：省知识产权局产业促进处 徐长春 </w:t>
      </w:r>
    </w:p>
    <w:p w14:paraId="18454012">
      <w:pPr>
        <w:widowControl/>
        <w:spacing w:line="570" w:lineRule="exact"/>
        <w:ind w:firstLine="640" w:firstLineChars="200"/>
        <w:jc w:val="lef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 w:cs="方正仿宋_GBK"/>
          <w:b w:val="0"/>
          <w:bCs w:val="0"/>
          <w:color w:val="000000"/>
          <w:kern w:val="0"/>
          <w:sz w:val="32"/>
          <w:szCs w:val="32"/>
        </w:rPr>
        <w:t>电 话：025-83236375</w:t>
      </w:r>
    </w:p>
    <w:p w14:paraId="0136B569">
      <w:pPr>
        <w:spacing w:line="570" w:lineRule="exact"/>
        <w:rPr>
          <w:rFonts w:ascii="宋体" w:hAnsi="宋体" w:eastAsia="方正仿宋_GBK" w:cs="方正仿宋_GBK"/>
          <w:b w:val="0"/>
          <w:bCs w:val="0"/>
          <w:sz w:val="32"/>
          <w:szCs w:val="32"/>
        </w:rPr>
      </w:pPr>
    </w:p>
    <w:sectPr>
      <w:pgSz w:w="11906" w:h="16838"/>
      <w:pgMar w:top="2098" w:right="1474" w:bottom="1984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1" w:fontKey="{76E10C44-E374-4531-822B-7F14FB8CBC8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0F732F68-DBFD-4DCF-A567-BED9A02C545D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3D6B4D22-491C-4E42-AFAF-BD0CB4CE3A5F}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65054470-DCD6-4ED5-9157-815EC62834F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692AB5"/>
    <w:rsid w:val="005B212C"/>
    <w:rsid w:val="00A07C26"/>
    <w:rsid w:val="00C65092"/>
    <w:rsid w:val="00D6704C"/>
    <w:rsid w:val="00ED75D7"/>
    <w:rsid w:val="00F608FB"/>
    <w:rsid w:val="066E59FA"/>
    <w:rsid w:val="17B91F5B"/>
    <w:rsid w:val="2C7D3EA4"/>
    <w:rsid w:val="314E2F30"/>
    <w:rsid w:val="48CB01D1"/>
    <w:rsid w:val="4A397CA5"/>
    <w:rsid w:val="4A807956"/>
    <w:rsid w:val="4B554B48"/>
    <w:rsid w:val="51FF428E"/>
    <w:rsid w:val="52FB1B32"/>
    <w:rsid w:val="55692AB5"/>
    <w:rsid w:val="5CC41F93"/>
    <w:rsid w:val="5D4C4156"/>
    <w:rsid w:val="5F842897"/>
    <w:rsid w:val="6234751F"/>
    <w:rsid w:val="63FE338D"/>
    <w:rsid w:val="68B548B1"/>
    <w:rsid w:val="75083F0D"/>
    <w:rsid w:val="79714AC3"/>
    <w:rsid w:val="7A971DC1"/>
    <w:rsid w:val="7D577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iPriority="99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index 4"/>
    <w:basedOn w:val="1"/>
    <w:next w:val="1"/>
    <w:unhideWhenUsed/>
    <w:qFormat/>
    <w:uiPriority w:val="99"/>
    <w:pPr>
      <w:ind w:left="600" w:leftChars="600"/>
    </w:p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2280</Words>
  <Characters>2333</Characters>
  <Lines>18</Lines>
  <Paragraphs>5</Paragraphs>
  <TotalTime>1</TotalTime>
  <ScaleCrop>false</ScaleCrop>
  <LinksUpToDate>false</LinksUpToDate>
  <CharactersWithSpaces>2365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2026-03-09T01:09:00Z</dcterms:created>
  <dc:creator>童心依然</dc:creator>
  <cp:lastModifiedBy>linrong</cp:lastModifiedBy>
  <cp:lastPrinted>2026-04-27T00:49:00Z</cp:lastPrinted>
  <dcterms:modified xsi:type="dcterms:W3CDTF">2026-04-29T06:33:18Z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0942116E065F46818DF2CE817C11E010_13</vt:lpwstr>
  </property>
  <property fmtid="{D5CDD505-2E9C-101B-9397-08002B2CF9AE}" pid="4" name="KSOTemplateDocerSaveRecord">
    <vt:lpwstr>eyJoZGlkIjoiNWRiOTIxODc5MDQzOTY1MThlNmNmMTA4ZjE4NzM2NWYiLCJ1c2VySWQiOiIxNTY4NDkwMDg3In0=</vt:lpwstr>
  </property>
</Properties>
</file>