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kinsoku/>
        <w:topLinePunct w:val="0"/>
        <w:bidi w:val="0"/>
        <w:spacing w:beforeLines="0" w:afterLines="0" w:line="570" w:lineRule="exact"/>
        <w:ind w:firstLine="0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附件1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pacing w:beforeLines="0" w:afterLines="0" w:line="570" w:lineRule="exact"/>
        <w:ind w:firstLine="0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topLinePunct w:val="0"/>
        <w:bidi w:val="0"/>
        <w:adjustRightInd/>
        <w:snapToGrid w:val="0"/>
        <w:spacing w:beforeLines="0" w:afterLines="0" w:line="570" w:lineRule="exact"/>
        <w:jc w:val="center"/>
        <w:textAlignment w:val="baseline"/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</w:rPr>
        <w:t>年度省知识产权建设示范（保护示范区）项目申</w:t>
      </w:r>
      <w:r>
        <w:rPr>
          <w:rFonts w:hint="eastAsia" w:ascii="Times New Roman" w:hAnsi="Times New Roman" w:eastAsia="方正小标宋_GBK"/>
          <w:b w:val="0"/>
          <w:bCs w:val="0"/>
          <w:color w:val="000000"/>
          <w:sz w:val="44"/>
          <w:szCs w:val="44"/>
        </w:rPr>
        <w:t>报指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</w:rPr>
        <w:t>南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jc w:val="center"/>
        <w:textAlignment w:val="baseline"/>
        <w:rPr>
          <w:rFonts w:ascii="Times New Roman" w:hAnsi="Times New Roman" w:eastAsia="方正小标宋_GBK"/>
          <w:b w:val="0"/>
          <w:bCs w:val="0"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黑体_GBK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宋体" w:hAnsi="宋体" w:eastAsia="方正黑体_GBK"/>
          <w:b w:val="0"/>
          <w:bCs w:val="0"/>
          <w:color w:val="000000"/>
          <w:sz w:val="32"/>
          <w:szCs w:val="32"/>
        </w:rPr>
        <w:t>一、支持</w:t>
      </w:r>
      <w:r>
        <w:rPr>
          <w:rFonts w:hint="eastAsia" w:ascii="宋体" w:hAnsi="宋体" w:eastAsia="方正黑体_GBK"/>
          <w:b w:val="0"/>
          <w:bCs w:val="0"/>
          <w:color w:val="000000"/>
          <w:sz w:val="32"/>
          <w:szCs w:val="32"/>
          <w:lang w:eastAsia="zh-CN"/>
        </w:rPr>
        <w:t>重点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重点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支持我省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知识产权基础好、综合实力强的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设区市、县（市、区）和园区。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黑体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黑体_GBK"/>
          <w:b w:val="0"/>
          <w:bCs w:val="0"/>
          <w:color w:val="000000"/>
          <w:sz w:val="32"/>
          <w:szCs w:val="32"/>
          <w:shd w:val="clear" w:color="auto" w:fill="FFFFFF"/>
        </w:rPr>
        <w:t>二、申报主体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设区市、县（市、区）人民政府，园区管委会。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黑体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黑体_GBK"/>
          <w:b w:val="0"/>
          <w:bCs w:val="0"/>
          <w:color w:val="000000"/>
          <w:sz w:val="32"/>
          <w:szCs w:val="32"/>
          <w:shd w:val="clear" w:color="auto" w:fill="FFFFFF"/>
        </w:rPr>
        <w:t>三、申报条件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（一）申报创建保护示范区的设区市应符合下列条件：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1.被评为202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年度省知识产权工作真抓实干成效明显地区或被评为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</w:rPr>
        <w:t>国家知识产权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强市建设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</w:rPr>
        <w:t>示范城市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eastAsia="zh-CN"/>
        </w:rPr>
        <w:t>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</w:rPr>
        <w:t>国家知识产权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强市建设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eastAsia="zh-CN"/>
        </w:rPr>
        <w:t>试点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</w:rPr>
        <w:t>城市；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</w:rPr>
        <w:t>2.已建设国家级知识产权保护中心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eastAsia="zh-CN"/>
        </w:rPr>
        <w:t>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pacing w:beforeLines="0" w:afterLines="0" w:line="570" w:lineRule="exact"/>
        <w:ind w:firstLine="640" w:firstLineChars="200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yellow"/>
          <w:shd w:val="clear" w:color="auto" w:fill="FFFFFF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3.2023年度非正常专利申请撤回率高于全省平均水平。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  <w:highlight w:val="none"/>
          <w:shd w:val="clear" w:color="auto" w:fill="FFFFFF"/>
        </w:rPr>
        <w:t>（二）申报创建保护示范区的县（市、区）</w:t>
      </w:r>
      <w:r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应</w:t>
      </w:r>
      <w:r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  <w:highlight w:val="none"/>
          <w:shd w:val="clear" w:color="auto" w:fill="FFFFFF"/>
        </w:rPr>
        <w:t>符合下列条件</w:t>
      </w:r>
      <w:r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：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1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.被评为202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年度省知识产权工作真抓实干成效明显地区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，或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被评为国家知识产权强县建设示范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试点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县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或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已建设国家级知识产权快速维权中心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2.2023年度非正常专利申请撤回率应高于全省平均水平。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（三）申报创建保护示范区的园区</w:t>
      </w:r>
      <w:r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应</w:t>
      </w:r>
      <w:r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  <w:highlight w:val="none"/>
          <w:shd w:val="clear" w:color="auto" w:fill="FFFFFF"/>
        </w:rPr>
        <w:t>符合下列条件</w:t>
      </w:r>
      <w:r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：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国家级高新技术产业开发区或经济技术开发区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被认定为国家级知识产权强国建设示范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试点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园区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或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被认定为江苏省知识产权建设示范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（园区），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或建有综合性知识产权保护服务载体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3.2023年度非正常专利申请撤回率应高于全省平均水平。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黑体_GBK"/>
          <w:b w:val="0"/>
          <w:bCs w:val="0"/>
          <w:color w:val="auto"/>
          <w:sz w:val="32"/>
          <w:szCs w:val="32"/>
        </w:rPr>
      </w:pPr>
      <w:r>
        <w:rPr>
          <w:rFonts w:hint="eastAsia" w:ascii="宋体" w:hAnsi="宋体" w:eastAsia="方正黑体_GBK"/>
          <w:b w:val="0"/>
          <w:bCs w:val="0"/>
          <w:color w:val="auto"/>
          <w:sz w:val="32"/>
          <w:szCs w:val="32"/>
        </w:rPr>
        <w:t>四、项目任务和绩效目标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设区市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1.</w:t>
      </w: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项目</w:t>
      </w: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任务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default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  <w:bookmarkStart w:id="0" w:name="_GoBack"/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（1）强化知识产权保护整体部署。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认真贯彻落实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《知识产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权强国建设纲要（2021-2035年）》《“十四五”国家知识产权保护和运用规划》《关于强化知识产权保护的意见》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以及《江苏省知识产权强省建设纲要（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2021-2035年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）》《江苏省“十四五”知识产权发展规划》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《关于强化知识产权保护的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实施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意见》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等相关决策部署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，加强本市知识产权保护工作部署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制定具体落实措施，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强化知识产权创造、运用、保护、管理、服务全链条工作体系。将知识产权保护工作纳入党委政府的重要议事日程，定期召开专题会议研究部署知识产权保护工作。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将知识产权保护工作纳入对县（市、区）党委和政府绩效考核，落实知识产权保护属地责任。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（2） 完善知识产权保护法规政策体系。贯彻落实国家知识产权法律法规和《江苏省知识产权促进和保护条例》，推进知识产权保护地方立法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制定出台知识产权保护地方性法规、政府规章，创新知识产权保护政策措施，形成激励和支撑知识产权保护工作的政策法规体系，并有效实施。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（3） 健全知识产权管理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机制。健全知识产权联席会议制度，充分发挥联席会议知识产权保护协调功能，定期召开会议研究知识产权保护工作。推进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设区市、县（市、区）建设符合知识产权执法要求的队伍，配备专业的知识产权执法人员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加强设区市、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县（市、区）、乡镇知识产权管理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队伍建设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提高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知识产权管理人员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能力水平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。将知识产权保护工作经费纳入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同级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财政预算，加大知识产权保护工作投入力度。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）提升知识产权行政保护效能。着力推进知识产权行政执法能力建设，健全行政执法制度规范、程序规范和实体规范。贯彻实施知识产权行政执法专项行动，全面落实行政执法“三项制度”，推行“双随机、一公开”执法监管。不断提升执法办案质量和效能，行政裁决和行政处罚办案数量和质量稳步提升，位居全省前列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加强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长三角、十二省市知识产权执法协作，加强日常执法，依法打击专利、商标、地理标志侵权假冒等违法行为，着力整治非正常专利申请、商标恶意注册、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违法违规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代理行为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） 严格知识产权司法保护。贯彻落实国家知识产权司法审判“三合一”改革部署，加强知识产权司法审判、刑事侦查、检察队伍建设，建立健全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技术调查员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、专家咨询、人民陪审员等司法审判工作机制，综合运用诉前禁令、保全、强制执行等措施，积极适用惩罚性赔偿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严厉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打击知识产权侵权假冒违法违规行为。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深入推进知识产权检察综合履职，加大对侵犯知识产权犯罪惩治力度，加强知识产权民事、行政诉讼监督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） 推进知识产权执法“两法衔接”。建立知识产权行政执法、刑事司法案件移送制度，健全案件移送实体规范、程序规范，打通知识产权行政机关执法办案发现的刑事案件向司法机关移送、司法机关刑事侦查发现的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行政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违法案件向行政机关移送通道，有效防止以罚代刑或者违法不究。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） 构建多元化知识产权纠纷解决机制。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完善知识产权快速协同保护体系，推进各县（市、区）和行业协会、产业园区等设立知识产权维权援助机构，扩大维权援助服务覆盖面。积极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开展知识产权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纠纷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行政调解，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推进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知识产权纠纷行政调解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协议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司法确认工作。推动人民调解组织、知识产权维权援助机构、知识产权服务机构、行业协会设立知识产权纠纷人民调解委员会，快速解决知识产权纠纷。推动知识产权仲裁机构建设以及仲裁工作开展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构建知识产权大保护格局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提升知识产权服务水平。加快构建知识产权公共服务体系，深入实施知识产权公共服务普惠工程，建立知识产权公共服务事项清单化管理机制，深化知识产权业务办理“一站式”服务和“一网通办”，推进本辖区内知识产权数据、信息共享利用以及知识产权公共服务产品普及应用，切实提升知识产权公共服务平台运行效能。推进多元化知识产权服务机构集聚，建设影响力大、示范效应显著的知识产权服务业高质量集聚发展区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）推动产业高质量发展。推进关键技术领域知识产权战略，组织开展高价值专利培育，聚焦重点产业集群和标志性产业链，开展专利布局。面向重大科技平台、重点实验室、重大产业创新载体，开展知识产权“产才对接”行动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实施专利导航工程，为相关企业自主创新、产业发展、政府决策提供知识产权信息服务支撑。建立完善商标品牌保护机制，制定出台相关政策措施，打造一批享誉国内外的企业商标品牌。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10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）推进知识产权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领域国际保护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。建立健全海外知识产权纠纷应对指导工作体系，开展海外知识产权纠纷应对指导工作，加强企业海外知识产权维权援助。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完善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涉外知识产权风险监测预警与防控机制，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积极收集整理内外资企业知识产权保护相关诉求，加强针对性信息发布和风险预警。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鼓励保险机构开展知识产权海外侵权责任险等保险业务。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11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加强宣传引导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。围绕知识产权宣传周等宣传节点制定宣传方案，举办系列宣传活动，引导公众广泛参与。结合本地区工作特色，总结凝练知识产权保护示范区创建中的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先进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做法、典型经验，通过主流媒体、政务信息等形式加强宣传报道。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（1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） 其他特色工作。</w:t>
      </w:r>
    </w:p>
    <w:bookmarkEnd w:id="0"/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楷体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楷体_GBK"/>
          <w:b w:val="0"/>
          <w:bCs w:val="0"/>
          <w:color w:val="000000"/>
          <w:sz w:val="32"/>
          <w:szCs w:val="32"/>
        </w:rPr>
        <w:t>2.绩效目标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知识产权管理和执法队伍进一步充实，知识产权管理和执法能力进一步提升，</w:t>
      </w:r>
      <w:r>
        <w:rPr>
          <w:rFonts w:ascii="宋体" w:hAnsi="宋体" w:eastAsia="方正仿宋_GBK"/>
          <w:b w:val="0"/>
          <w:bCs w:val="0"/>
          <w:color w:val="000000"/>
          <w:sz w:val="32"/>
          <w:szCs w:val="32"/>
        </w:rPr>
        <w:t>区域内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行政</w:t>
      </w:r>
      <w:r>
        <w:rPr>
          <w:rFonts w:ascii="宋体" w:hAnsi="宋体" w:eastAsia="方正仿宋_GBK"/>
          <w:b w:val="0"/>
          <w:bCs w:val="0"/>
          <w:color w:val="000000"/>
          <w:sz w:val="32"/>
          <w:szCs w:val="32"/>
        </w:rPr>
        <w:t>执法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案件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年均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增长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5%以上，年度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知识产权执法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案卷评查获评优秀等次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（2）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lang w:val="en-US" w:eastAsia="zh-CN"/>
        </w:rPr>
        <w:t>区域内知识产权民事案件一审服判息诉率93%以上；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非正常专利申请率低于全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平均水平，撤回率高于全省平均水平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建设覆盖本辖区各县（市、区）的知识产权快速协同保护体系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pacing w:beforeLines="0" w:afterLines="0" w:line="570" w:lineRule="exact"/>
        <w:ind w:firstLine="640" w:firstLineChars="200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知识产权服务集聚效应显著发挥，知识产权综合服务能力明显提升；</w:t>
      </w:r>
    </w:p>
    <w:p>
      <w:pPr>
        <w:pStyle w:val="2"/>
        <w:spacing w:beforeLines="0" w:afterLines="0" w:line="570" w:lineRule="exact"/>
        <w:ind w:firstLine="640" w:firstLineChars="200"/>
        <w:rPr>
          <w:rFonts w:hint="default" w:eastAsia="方正仿宋_GBK"/>
          <w:b w:val="0"/>
          <w:bCs w:val="0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）区域内高价值发明专利占发明专利总数的比重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保持正增长；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default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7</w:t>
      </w:r>
      <w:r>
        <w:rPr>
          <w:rFonts w:ascii="宋体" w:hAnsi="宋体" w:eastAsia="方正仿宋_GBK"/>
          <w:b w:val="0"/>
          <w:bCs w:val="0"/>
          <w:color w:val="000000"/>
          <w:sz w:val="32"/>
          <w:szCs w:val="32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海外知识产权纠纷应对指导体系进一步健全，海外知识产权纠纷应对和维权援助能力显著提升；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8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）知识产权保护工作投入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保持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正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增长，知识产权保护工作经费在本地区财政资金拨付过程中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予以重点考虑或者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较往年适当倾斜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（二）县（市、区）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rPr>
          <w:rFonts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1.</w:t>
      </w: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项目</w:t>
      </w: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任务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（1） 强化知识产权保护部署实施。</w:t>
      </w:r>
      <w:r>
        <w:rPr>
          <w:rFonts w:hint="eastAsia" w:ascii="宋体" w:hAnsi="宋体" w:eastAsia="方正仿宋_GBK" w:cs="Times New Roman"/>
          <w:b w:val="0"/>
          <w:bCs w:val="0"/>
          <w:color w:val="000000"/>
          <w:sz w:val="32"/>
          <w:szCs w:val="32"/>
          <w:lang w:eastAsia="zh-CN"/>
        </w:rPr>
        <w:t>认真贯彻落实</w:t>
      </w:r>
      <w:r>
        <w:rPr>
          <w:rFonts w:hint="eastAsia" w:ascii="宋体" w:hAnsi="宋体" w:eastAsia="方正仿宋_GBK" w:cs="Times New Roman"/>
          <w:b w:val="0"/>
          <w:bCs w:val="0"/>
          <w:color w:val="000000"/>
          <w:sz w:val="32"/>
          <w:szCs w:val="32"/>
        </w:rPr>
        <w:t>《知识产权强国建设纲要（2021-2035年）》</w:t>
      </w:r>
      <w:r>
        <w:rPr>
          <w:rFonts w:hint="eastAsia" w:ascii="宋体" w:hAnsi="宋体" w:eastAsia="方正仿宋_GBK" w:cs="Times New Roman"/>
          <w:b w:val="0"/>
          <w:bCs w:val="0"/>
          <w:snapToGrid/>
          <w:color w:val="000000"/>
          <w:kern w:val="2"/>
          <w:sz w:val="32"/>
          <w:szCs w:val="32"/>
        </w:rPr>
        <w:t>《“十四五”国家知识产权保护和运用规划》《关于强化知识产权保护的意见》</w:t>
      </w:r>
      <w:r>
        <w:rPr>
          <w:rFonts w:hint="eastAsia" w:ascii="宋体" w:hAnsi="宋体" w:eastAsia="方正仿宋_GBK" w:cs="Times New Roman"/>
          <w:b w:val="0"/>
          <w:bCs w:val="0"/>
          <w:color w:val="000000"/>
          <w:sz w:val="32"/>
          <w:szCs w:val="32"/>
          <w:lang w:eastAsia="zh-CN"/>
        </w:rPr>
        <w:t>以及《江苏省知识产权强省建设纲要（</w:t>
      </w:r>
      <w:r>
        <w:rPr>
          <w:rFonts w:hint="eastAsia" w:ascii="宋体" w:hAnsi="宋体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  <w:t>2021-2035年</w:t>
      </w:r>
      <w:r>
        <w:rPr>
          <w:rFonts w:hint="eastAsia" w:ascii="宋体" w:hAnsi="宋体" w:eastAsia="方正仿宋_GBK" w:cs="Times New Roman"/>
          <w:b w:val="0"/>
          <w:bCs w:val="0"/>
          <w:color w:val="000000"/>
          <w:sz w:val="32"/>
          <w:szCs w:val="32"/>
          <w:lang w:eastAsia="zh-CN"/>
        </w:rPr>
        <w:t>）》《江苏省“十四五”知识产权发展规划》</w:t>
      </w:r>
      <w:r>
        <w:rPr>
          <w:rFonts w:hint="eastAsia" w:ascii="宋体" w:hAnsi="宋体" w:eastAsia="方正仿宋_GBK" w:cs="Times New Roman"/>
          <w:b w:val="0"/>
          <w:bCs w:val="0"/>
          <w:snapToGrid/>
          <w:color w:val="000000"/>
          <w:kern w:val="2"/>
          <w:sz w:val="32"/>
          <w:szCs w:val="32"/>
        </w:rPr>
        <w:t>《关于强化知识产权保护的</w:t>
      </w:r>
      <w:r>
        <w:rPr>
          <w:rFonts w:hint="eastAsia" w:ascii="宋体" w:hAnsi="宋体" w:eastAsia="方正仿宋_GBK" w:cs="Times New Roman"/>
          <w:b w:val="0"/>
          <w:bCs w:val="0"/>
          <w:snapToGrid/>
          <w:color w:val="000000"/>
          <w:kern w:val="2"/>
          <w:sz w:val="32"/>
          <w:szCs w:val="32"/>
          <w:lang w:eastAsia="zh-CN"/>
        </w:rPr>
        <w:t>实施</w:t>
      </w:r>
      <w:r>
        <w:rPr>
          <w:rFonts w:hint="eastAsia" w:ascii="宋体" w:hAnsi="宋体" w:eastAsia="方正仿宋_GBK" w:cs="Times New Roman"/>
          <w:b w:val="0"/>
          <w:bCs w:val="0"/>
          <w:snapToGrid/>
          <w:color w:val="000000"/>
          <w:kern w:val="2"/>
          <w:sz w:val="32"/>
          <w:szCs w:val="32"/>
        </w:rPr>
        <w:t>意见》</w:t>
      </w:r>
      <w:r>
        <w:rPr>
          <w:rFonts w:hint="eastAsia" w:ascii="宋体" w:hAnsi="宋体" w:eastAsia="方正仿宋_GBK"/>
          <w:b w:val="0"/>
          <w:bCs w:val="0"/>
          <w:color w:val="auto"/>
          <w:sz w:val="32"/>
          <w:szCs w:val="32"/>
          <w:lang w:eastAsia="zh-CN"/>
        </w:rPr>
        <w:t>等相关</w:t>
      </w:r>
      <w:r>
        <w:rPr>
          <w:rFonts w:hint="eastAsia" w:ascii="宋体" w:hAnsi="宋体" w:eastAsia="方正仿宋_GBK"/>
          <w:b w:val="0"/>
          <w:bCs w:val="0"/>
          <w:color w:val="auto"/>
          <w:sz w:val="32"/>
          <w:szCs w:val="32"/>
          <w:lang w:val="en-US" w:eastAsia="zh-CN"/>
        </w:rPr>
        <w:t>决策部署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，结合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设区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知识产权工作相关规划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，强化知识产权工作整体部署，制定具体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落实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措施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强化知识产权创造、运用、保护、管理、服务全链条工作体系。将知识产权保护工作纳入党委政府的重要议事日程，定期召开专题会议研究部署知识产权保护工作。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（2）加强知识产权管理体系建设。健全知识产权联席会议制度，充分发挥联席会议知识产权保护协调功能，定期召开会议研究知识产权保护工作。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建设符合知识产权执法要求的队伍，配备专业的知识产权执法人员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加强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县（市、区）、乡镇知识产权管理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队伍建设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提高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知识产权管理人员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能力水平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。将知识产权保护工作经费纳入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同级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财政预算，加大知识产权保护工作投入力度。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提升知识产权行政保护效能。着力推进知识产权行政执法能力建设，健全行政执法制度规范、程序规范和实体规范。贯彻实施知识产权行政执法专项行动，全面落实行政执法“三项制度”，推行“双随机、一公开”执法监管。不断提升执法办案质量和效能，行政裁决和行政处罚办案数量和质量稳步提升，位居全省前列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加强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长三角、十二省市知识产权执法协作，加强日常执法，依法打击专利、商标、地理标志侵权假冒等违法行为，着力整治非正常专利申请、商标恶意注册、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违法违规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代理行为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 严格知识产权司法保护。贯彻落实国家知识产权司法审判“三合一”改革部署，加强知识产权司法审判、刑事侦查、检察队伍建设，建立健全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技术调查员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、专家咨询、人民陪审员等司法审判工作机制，综合运用诉前禁令、保全、强制执行等措施，积极适用惩罚性赔偿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严厉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打击知识产权侵权假冒违法违规行为。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深入推进知识产权检察综合履职，加大对侵犯知识产权犯罪惩治力度，加强知识产权民事、行政诉讼监督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推进知识产权执法“两法衔接”。建立知识产权行政执法、刑事司法案件移送制度，健全案件移送实体规范、程序规范，打通知识产权行政机关执法办案发现的刑事案件向司法机关移送、司法机关刑事侦查发现的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行政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违法案件向行政机关移送通道，有效防止以罚代刑或者违法不究。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 构建多元化知识产权纠纷解决机制。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设立知识产权维权援助分中心、工作站，扩大维权援助服务覆盖面。积极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开展知识产权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纠纷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行政调解，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推进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知识产权纠纷行政调解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协议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司法确认工作。推动人民调解组织、知识产权维权援助机构、知识产权服务机构、行业协会设立知识产权纠纷人民调解委员会，快速解决知识产权纠纷。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7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 xml:space="preserve"> 提升知识产权服务水平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。加强政策引导，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推进多元化知识产权服务机构集聚，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打造知识产权服务业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高质量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集聚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发展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建设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集成专利、商标、版权、种业等知识产权相关的行政、司法、海关、商贸、仲裁、调解等保护综合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服务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“一站式”服务中心，为知识产权权利人、社会公众办理各类知识产权事务提供“一站式”服务，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切实提升知识产权公共服务水平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。建立健全海外知识产权纠纷应对指导工作体系，开展海外知识产权纠纷应对指导工作，加强企业海外知识产权维权援助。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8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</w:t>
      </w:r>
      <w:r>
        <w:rPr>
          <w:rFonts w:hint="eastAsia" w:ascii="宋体" w:hAnsi="宋体" w:eastAsia="方正仿宋_GBK" w:cs="方正仿宋_GBK"/>
          <w:b w:val="0"/>
          <w:bCs w:val="0"/>
          <w:color w:val="auto"/>
          <w:sz w:val="32"/>
          <w:szCs w:val="32"/>
        </w:rPr>
        <w:t>推动产业高质量发展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。围绕本地主导产业，组织开展高价值专利培育、实施专利导航工程，为相关企业自主创新、产业发展、政府决策提供知识产权信息服务支撑。加大集体商标、证明商标、地理标志产品培育力度，着力打造地方特色产品和知名品牌。坚持质量导向、运用导向，强化政策引导，促进高质量发明专利、PCT专利、高价值品牌产出和运用，加强知识产权源头保护。</w:t>
      </w:r>
    </w:p>
    <w:p>
      <w:pPr>
        <w:pStyle w:val="2"/>
        <w:spacing w:beforeLines="0" w:afterLines="0" w:line="570" w:lineRule="exact"/>
        <w:ind w:firstLine="640" w:firstLineChars="200"/>
        <w:rPr>
          <w:rFonts w:hint="eastAsia" w:eastAsia="方正仿宋_GBK"/>
          <w:b w:val="0"/>
          <w:bCs w:val="0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9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加强宣传引导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。围绕知识产权宣传周等宣传节点制定宣传方案，举办系列宣传活动，引导公众广泛参与。结合本地区工作特色，总结凝练知识产权保护示范区创建中的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先进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做法、典型经验，通过主流媒体、政务信息等形式加强宣传报道。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）其他特色工作。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楷体_GBK"/>
          <w:b w:val="0"/>
          <w:bCs w:val="0"/>
          <w:color w:val="auto"/>
          <w:sz w:val="32"/>
          <w:szCs w:val="32"/>
        </w:rPr>
        <w:t>2.绩效目标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1</w:t>
      </w:r>
      <w:r>
        <w:rPr>
          <w:rFonts w:ascii="宋体" w:hAnsi="宋体" w:eastAsia="方正仿宋_GBK"/>
          <w:b w:val="0"/>
          <w:bCs w:val="0"/>
          <w:color w:val="000000"/>
          <w:sz w:val="32"/>
          <w:szCs w:val="32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知识产权管理和执法队伍进一步充实，知识产权管理和执法能力进一步提升，</w:t>
      </w:r>
      <w:r>
        <w:rPr>
          <w:rFonts w:ascii="宋体" w:hAnsi="宋体" w:eastAsia="方正仿宋_GBK"/>
          <w:b w:val="0"/>
          <w:bCs w:val="0"/>
          <w:color w:val="000000"/>
          <w:sz w:val="32"/>
          <w:szCs w:val="32"/>
        </w:rPr>
        <w:t>区域内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行政</w:t>
      </w:r>
      <w:r>
        <w:rPr>
          <w:rFonts w:ascii="宋体" w:hAnsi="宋体" w:eastAsia="方正仿宋_GBK"/>
          <w:b w:val="0"/>
          <w:bCs w:val="0"/>
          <w:color w:val="000000"/>
          <w:sz w:val="32"/>
          <w:szCs w:val="32"/>
        </w:rPr>
        <w:t>执法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案件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年均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增长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5%以上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（2）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highlight w:val="none"/>
          <w:lang w:val="en-US" w:eastAsia="zh-CN"/>
        </w:rPr>
        <w:t>区域内知识产权民事案件一审服判息诉率93%以上；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非正常专利申请率低于全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平均水平，撤回率高于全省平均水平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知识产权维权援助体系进一步完善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知识产权服务集聚效应显著发挥，知识产权综合服务能力明显提升；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default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（6）海外知识产权纠纷应对指导体系进一步健全，海外知识产权纠纷应对和维权援助能力显著提升；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pacing w:beforeLines="0" w:afterLines="0" w:line="570" w:lineRule="exact"/>
        <w:ind w:firstLine="640" w:firstLineChars="200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7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）区域内高价值发明专利占发明专利总数的比重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保持正增长；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pacing w:beforeLines="0" w:afterLines="0" w:line="570" w:lineRule="exact"/>
        <w:ind w:firstLine="640" w:firstLineChars="200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8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）知识产权保护工作投入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保持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正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增长，知识产权保护工作经费在本地区财政资金拨付过程中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予以重点考虑或者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较往年适当倾斜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（三）园区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rPr>
          <w:rFonts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1.</w:t>
      </w: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项目</w:t>
      </w:r>
      <w:r>
        <w:rPr>
          <w:rFonts w:hint="eastAsia" w:ascii="宋体" w:hAnsi="宋体" w:eastAsia="方正楷体_GBK" w:cs="方正楷体_GBK"/>
          <w:b w:val="0"/>
          <w:bCs w:val="0"/>
          <w:color w:val="000000"/>
          <w:sz w:val="32"/>
          <w:szCs w:val="32"/>
          <w:shd w:val="clear" w:color="auto" w:fill="FFFFFF"/>
        </w:rPr>
        <w:t>任务</w:t>
      </w:r>
    </w:p>
    <w:p>
      <w:pPr>
        <w:snapToGrid w:val="0"/>
        <w:spacing w:beforeLines="0" w:afterLines="0" w:line="570" w:lineRule="exact"/>
        <w:ind w:firstLine="640" w:firstLineChars="200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（1）强化知识产权保护部署落实。根据省、市知识产权保护工作部署，紧紧围绕园区产业发展，贯彻落实《知识产权强国建设纲要（2021-2035年）》</w:t>
      </w:r>
      <w:r>
        <w:rPr>
          <w:rFonts w:hint="eastAsia" w:ascii="宋体" w:hAnsi="宋体" w:eastAsia="方正仿宋_GBK" w:cs="Times New Roman"/>
          <w:b w:val="0"/>
          <w:bCs w:val="0"/>
          <w:snapToGrid/>
          <w:color w:val="000000"/>
          <w:kern w:val="2"/>
          <w:sz w:val="32"/>
          <w:szCs w:val="32"/>
        </w:rPr>
        <w:t>《“十四五”国家知识产权保护和运用规划》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《关于强化知识产权保护的实施意见》，以及省、市“十四五”知识产权发展规划，将知识产权保护工作纳入园区重点工作加以部署落实，制定切实可行的工作举措。将知识产权保护工作纳入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园区管委会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的重要议事日程，定期召开专题会议研究部署知识产权保护工作。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（2） 加强知识产权管理体系建设。健全知识产权联席会议制度，充分发挥联席会议知识产权保护协调功能，定期召开会议研究知识产权保护工作。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加强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行政管理、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执法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力量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，为知识产权工作开展提供人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员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保障。将知识产权保护工作经费纳入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同级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财政预算，加大知识产权保护工作投入力度。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提升知识产权行政保护效能。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协调推进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知识产权行政执法专项行动，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推动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知识产权行政执法能力建设，提升执法办案质量和效能，行政裁决和行政处罚办案数量和质量稳步提升。着力整治非正常专利申请、商标恶意注册、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违法违规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代理行为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协同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推进知识产权执法“两法衔接”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工作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建立知识产权行政执法、刑事司法案件移送制度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打通知识产权行政机关执法办案发现的刑事案件向司法机关移送、司法机关刑事侦查发现的知识产权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行政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违法案件向行政机关移送通道，有效防止以罚代刑或者违法不究。</w:t>
      </w:r>
    </w:p>
    <w:p>
      <w:pPr>
        <w:pStyle w:val="2"/>
        <w:spacing w:beforeLines="0" w:afterLines="0" w:line="570" w:lineRule="exact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 构建多元化知识产权纠纷解决机制。结合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园区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产业特点，争取省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和设区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市支持，设立知识产权维权援助分支机构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，为园区企业提供优质、便捷的知识产权维权援助服务。积极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开展知识产权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纠纷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行政调解，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推进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知识产权纠纷行政调解司法确认工作。推动人民调解组织、知识产权维权援助机构、知识产权服务机构、行业协会设立知识产权纠纷人民调解委员会，快速解决知识产权纠纷。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 xml:space="preserve"> 提升知识产权服务水平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。加强政策引导，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推进多元化知识产权服务机构集聚，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打造知识产权服务业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高质量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集聚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发展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区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建设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集成专利、商标、版权、种业等知识产权相关的行政、司法、海关、商贸、仲裁、调解等保护综合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服务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“一站式”服务中心，为知识产权权利人、社会公众办理各类知识产权事务提供“一站式”服务，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切实提升知识产权公共服务水平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。建立健全海外知识产权纠纷应对指导工作体系，开展海外知识产权纠纷应对指导工作，加强企业海外知识产权维权援助。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</w:t>
      </w:r>
      <w:r>
        <w:rPr>
          <w:rFonts w:hint="eastAsia" w:ascii="宋体" w:hAnsi="宋体" w:eastAsia="方正仿宋_GBK" w:cs="方正仿宋_GBK"/>
          <w:b w:val="0"/>
          <w:bCs w:val="0"/>
          <w:color w:val="auto"/>
          <w:sz w:val="32"/>
          <w:szCs w:val="32"/>
        </w:rPr>
        <w:t>推动产业高质量发展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。围绕园区产业发展规划，组织开展高价值专利培育，推动获取一批重大技术攻关成果和高价值专利。组织实施专利导航工程，开展专利产出现状、资源配置现状分析，支撑园区优化资源配置，促进企业技术创新和产业健康发展。围绕园区重点发展产业，组织开展关键核心技术专利预警分析，为园区招商引资、人才引进和指导企业规避知识产权风险提供服务支撑。推动组建产业知识产权联盟，促进产业上下游企业和科研机构联合，加强资源共享和协同创新，开展联合维权，形成以知识产权为纽带的产业发展联合体。</w:t>
      </w:r>
    </w:p>
    <w:p>
      <w:pPr>
        <w:pStyle w:val="2"/>
        <w:spacing w:beforeLines="0" w:afterLines="0" w:line="570" w:lineRule="exact"/>
        <w:ind w:firstLine="640" w:firstLineChars="200"/>
        <w:rPr>
          <w:rFonts w:hint="eastAsia" w:eastAsia="方正仿宋_GBK"/>
          <w:b w:val="0"/>
          <w:bCs w:val="0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7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加强宣传引导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。围绕知识产权宣传周等宣传节点制定宣传方案，举办系列宣传活动，引导公众广泛参与。结合本地区工作特色，总结凝练知识产权保护示范区创建中的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先进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做法、典型经验，通过主流媒体、政务信息等形式加强宣传报道。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（8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）其他特色工作。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楷体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楷体_GBK"/>
          <w:b w:val="0"/>
          <w:bCs w:val="0"/>
          <w:color w:val="000000"/>
          <w:sz w:val="32"/>
          <w:szCs w:val="32"/>
        </w:rPr>
        <w:t>2.绩效目标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  <w:lang w:val="en-US" w:eastAsia="zh-CN"/>
        </w:rPr>
        <w:t>1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</w:rPr>
        <w:t>）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知识产权执法和管理队伍进一步充实，知识产权执法和管理能力进一步提升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  <w:lang w:val="en-US" w:eastAsia="zh-CN"/>
        </w:rPr>
        <w:t>园区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</w:rPr>
        <w:t>内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  <w:lang w:eastAsia="zh-CN"/>
        </w:rPr>
        <w:t>知识产权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  <w:lang w:val="en-US" w:eastAsia="zh-CN"/>
        </w:rPr>
        <w:t>行政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</w:rPr>
        <w:t>执法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  <w:lang w:eastAsia="zh-CN"/>
        </w:rPr>
        <w:t>案件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  <w:lang w:val="en-US" w:eastAsia="zh-CN"/>
        </w:rPr>
        <w:t>年均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  <w:lang w:eastAsia="zh-CN"/>
        </w:rPr>
        <w:t>增长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  <w:lang w:val="en-US" w:eastAsia="zh-CN"/>
        </w:rPr>
        <w:t>5%以上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z w:val="32"/>
          <w:szCs w:val="32"/>
        </w:rPr>
        <w:t>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napToGrid/>
        <w:spacing w:beforeLines="-2147483648" w:afterLines="-2147483648" w:line="240" w:lineRule="auto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非正常专利申请率低于全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平均水平，撤回率高于全省平均水平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知识产权维权援助体系进一步完善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知识产权服务集聚效应显著发挥，知识产权综合服务能力明显提升；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auto"/>
        <w:rPr>
          <w:rFonts w:hint="default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（5）海外知识产权纠纷应对指导体系进一步健全，海外知识产权纠纷应对和维权援助能力显著提升；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pacing w:beforeLines="0" w:afterLines="0" w:line="570" w:lineRule="exact"/>
        <w:ind w:firstLine="640" w:firstLineChars="200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）区域内高价值发明专利占发明专利总数的比重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保持正增长；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pacing w:beforeLines="0" w:afterLines="0" w:line="570" w:lineRule="exact"/>
        <w:ind w:firstLine="640" w:firstLineChars="200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7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）知识产权保护工作投入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保持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正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增长，知识产权保护工作经费在本地区财政资金拨付过程中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予以重点考虑或者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较往年适当倾斜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黑体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黑体_GBK"/>
          <w:b w:val="0"/>
          <w:bCs w:val="0"/>
          <w:color w:val="000000"/>
          <w:sz w:val="32"/>
          <w:szCs w:val="32"/>
        </w:rPr>
        <w:t>五、组织方式</w:t>
      </w:r>
    </w:p>
    <w:p>
      <w:pPr>
        <w:keepNext w:val="0"/>
        <w:keepLines w:val="0"/>
        <w:pageBreakBefore w:val="0"/>
        <w:kinsoku/>
        <w:topLinePunct w:val="0"/>
        <w:bidi w:val="0"/>
        <w:adjustRightInd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（一）符合条件的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shd w:val="clear" w:color="auto" w:fill="FFFFFF"/>
        </w:rPr>
        <w:t>设区市、县（市、区）人民政府、园区管委会</w:t>
      </w:r>
      <w:r>
        <w:rPr>
          <w:rFonts w:ascii="Times New Roman" w:hAnsi="Times New Roman" w:eastAsia="方正仿宋_GBK"/>
          <w:b w:val="0"/>
          <w:bCs w:val="0"/>
          <w:color w:val="000000"/>
          <w:sz w:val="32"/>
          <w:szCs w:val="32"/>
        </w:rPr>
        <w:t>根据要求申报，签订信用承诺书</w:t>
      </w:r>
      <w:r>
        <w:rPr>
          <w:rFonts w:hint="eastAsia" w:ascii="Times New Roman" w:hAnsi="Times New Roman" w:eastAsia="方正仿宋_GBK"/>
          <w:b w:val="0"/>
          <w:bCs w:val="0"/>
          <w:color w:val="000000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按属地原则逐级上报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  <w:t>。设区市直接向省知识产权局申报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  <w:lang w:eastAsia="zh-CN"/>
        </w:rPr>
        <w:t>；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  <w:t>县（市、区）和园区申报的，应报所在设区市人民政府出具推荐意见后，向省知识产权局申报。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（二）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  <w:t>省知识产权局组织评审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，</w:t>
      </w:r>
      <w:r>
        <w:rPr>
          <w:rFonts w:ascii="宋体" w:hAnsi="宋体" w:eastAsia="方正仿宋_GBK"/>
          <w:b w:val="0"/>
          <w:bCs w:val="0"/>
          <w:color w:val="000000"/>
          <w:sz w:val="32"/>
          <w:szCs w:val="32"/>
        </w:rPr>
        <w:t>研究确定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立项</w:t>
      </w:r>
      <w:r>
        <w:rPr>
          <w:rFonts w:ascii="宋体" w:hAnsi="宋体" w:eastAsia="方正仿宋_GBK"/>
          <w:b w:val="0"/>
          <w:bCs w:val="0"/>
          <w:color w:val="000000"/>
          <w:sz w:val="32"/>
          <w:szCs w:val="32"/>
        </w:rPr>
        <w:t>，会同省财政厅下达项目经费。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  <w:lang w:eastAsia="zh-CN"/>
        </w:rPr>
        <w:t>原则上，设区市、县（市、区）、园区同年度、同辖区内不同时立项。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（三）项目实施期为3年，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立项后拨付一定启动资金</w:t>
      </w:r>
      <w:r>
        <w:rPr>
          <w:rFonts w:hint="eastAsia" w:ascii="宋体" w:hAnsi="宋体" w:eastAsia="方正仿宋_GBK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  <w:t>项目实施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  <w:lang w:eastAsia="zh-CN"/>
        </w:rPr>
        <w:t>满一年后组织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  <w:t>中期评估，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  <w:lang w:eastAsia="zh-CN"/>
        </w:rPr>
        <w:t>根据评估情况拨付后续资金。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项目实施期满后进行评价和验收。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ascii="宋体" w:hAnsi="宋体" w:eastAsia="方正黑体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黑体_GBK"/>
          <w:b w:val="0"/>
          <w:bCs w:val="0"/>
          <w:color w:val="000000"/>
          <w:sz w:val="32"/>
          <w:szCs w:val="32"/>
        </w:rPr>
        <w:t>六、申报要求</w:t>
      </w:r>
    </w:p>
    <w:p>
      <w:pPr>
        <w:keepNext w:val="0"/>
        <w:keepLines w:val="0"/>
        <w:pageBreakBefore w:val="0"/>
        <w:kinsoku/>
        <w:topLinePunct w:val="0"/>
        <w:bidi w:val="0"/>
        <w:snapToGrid w:val="0"/>
        <w:spacing w:beforeLines="0" w:afterLines="0" w:line="570" w:lineRule="exact"/>
        <w:ind w:firstLine="640" w:firstLineChars="200"/>
        <w:textAlignment w:val="baseline"/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（一）申报材料应真实、准确、规范，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如发现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弄虚作假等不良行为的，一经查实，将取消立项资格。</w:t>
      </w:r>
    </w:p>
    <w:p>
      <w:pPr>
        <w:keepNext w:val="0"/>
        <w:keepLines w:val="0"/>
        <w:pageBreakBefore w:val="0"/>
        <w:kinsoku/>
        <w:wordWrap w:val="0"/>
        <w:topLinePunct w:val="0"/>
        <w:autoSpaceDE w:val="0"/>
        <w:autoSpaceDN w:val="0"/>
        <w:bidi w:val="0"/>
        <w:snapToGrid w:val="0"/>
        <w:spacing w:beforeLines="0" w:afterLines="0" w:line="570" w:lineRule="exact"/>
        <w:ind w:firstLine="640" w:firstLineChars="200"/>
        <w:rPr>
          <w:rFonts w:ascii="宋体" w:hAnsi="宋体" w:eastAsia="方正仿宋_GBK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（二）</w:t>
      </w:r>
      <w:r>
        <w:rPr>
          <w:rFonts w:hint="eastAsia" w:ascii="宋体" w:hAnsi="宋体" w:eastAsia="方正仿宋_GBK"/>
          <w:b w:val="0"/>
          <w:bCs w:val="0"/>
          <w:snapToGrid w:val="0"/>
          <w:color w:val="000000"/>
          <w:kern w:val="0"/>
          <w:sz w:val="32"/>
          <w:szCs w:val="32"/>
        </w:rPr>
        <w:t>申报单位同时进行网上与书面申报，两种方式申报的内容须完全一致。</w:t>
      </w:r>
      <w:r>
        <w:rPr>
          <w:rFonts w:hint="eastAsia" w:ascii="宋体" w:hAnsi="宋体" w:eastAsia="方正仿宋_GBK"/>
          <w:b w:val="0"/>
          <w:bCs w:val="0"/>
          <w:sz w:val="32"/>
        </w:rPr>
        <w:t>网上申</w:t>
      </w:r>
      <w:r>
        <w:rPr>
          <w:rFonts w:hint="eastAsia" w:ascii="宋体" w:hAnsi="宋体" w:eastAsia="方正仿宋_GBK" w:cs="Times New Roman"/>
          <w:b w:val="0"/>
          <w:bCs w:val="0"/>
          <w:sz w:val="32"/>
        </w:rPr>
        <w:t>报登录</w:t>
      </w:r>
      <w:r>
        <w:rPr>
          <w:rFonts w:hint="eastAsia" w:ascii="宋体" w:hAnsi="宋体" w:eastAsia="方正仿宋_GBK" w:cs="Times New Roman"/>
          <w:b w:val="0"/>
          <w:bCs w:val="0"/>
          <w:sz w:val="32"/>
          <w:lang w:eastAsia="zh-CN"/>
        </w:rPr>
        <w:t>“</w:t>
      </w:r>
      <w:r>
        <w:rPr>
          <w:rFonts w:hint="eastAsia" w:ascii="宋体" w:hAnsi="宋体" w:eastAsia="方正仿宋_GBK" w:cs="Times New Roman"/>
          <w:b w:val="0"/>
          <w:bCs w:val="0"/>
          <w:sz w:val="32"/>
        </w:rPr>
        <w:t>江苏省知识产权综合服务平台</w:t>
      </w:r>
      <w:r>
        <w:rPr>
          <w:rFonts w:hint="eastAsia" w:ascii="宋体" w:hAnsi="宋体" w:eastAsia="方正仿宋_GBK" w:cs="Times New Roman"/>
          <w:b w:val="0"/>
          <w:bCs w:val="0"/>
          <w:sz w:val="32"/>
          <w:lang w:eastAsia="zh-CN"/>
        </w:rPr>
        <w:t>”</w:t>
      </w:r>
      <w:r>
        <w:rPr>
          <w:rFonts w:hint="eastAsia" w:ascii="宋体" w:hAnsi="宋体" w:eastAsia="方正仿宋_GBK" w:cs="Times New Roman"/>
          <w:b w:val="0"/>
          <w:bCs w:val="0"/>
          <w:sz w:val="32"/>
        </w:rPr>
        <w:t>（https://www.jsipp.cn），</w:t>
      </w:r>
      <w:r>
        <w:rPr>
          <w:rFonts w:hint="eastAsia" w:ascii="宋体" w:hAnsi="宋体" w:eastAsia="方正仿宋_GBK" w:cs="Times New Roman"/>
          <w:b w:val="0"/>
          <w:bCs w:val="0"/>
          <w:sz w:val="32"/>
          <w:lang w:eastAsia="zh-CN"/>
        </w:rPr>
        <w:t>通过</w:t>
      </w:r>
      <w:r>
        <w:rPr>
          <w:rFonts w:hint="eastAsia" w:ascii="宋体" w:hAnsi="宋体" w:eastAsia="方正仿宋_GBK" w:cs="Times New Roman"/>
          <w:b w:val="0"/>
          <w:bCs w:val="0"/>
          <w:sz w:val="32"/>
        </w:rPr>
        <w:t>“一站式管理</w:t>
      </w:r>
      <w:r>
        <w:rPr>
          <w:rFonts w:hint="eastAsia" w:ascii="宋体" w:hAnsi="宋体" w:eastAsia="方正仿宋_GBK" w:cs="Times New Roman"/>
          <w:b w:val="0"/>
          <w:bCs w:val="0"/>
          <w:sz w:val="32"/>
          <w:lang w:eastAsia="zh-CN"/>
        </w:rPr>
        <w:t>——</w:t>
      </w:r>
      <w:r>
        <w:rPr>
          <w:rFonts w:hint="eastAsia" w:ascii="宋体" w:hAnsi="宋体" w:eastAsia="方正仿宋_GBK" w:cs="Times New Roman"/>
          <w:b w:val="0"/>
          <w:bCs w:val="0"/>
          <w:sz w:val="32"/>
        </w:rPr>
        <w:t>申报</w:t>
      </w:r>
      <w:r>
        <w:rPr>
          <w:rFonts w:hint="eastAsia" w:ascii="宋体" w:hAnsi="宋体" w:eastAsia="方正仿宋_GBK" w:cs="Times New Roman"/>
          <w:b w:val="0"/>
          <w:bCs w:val="0"/>
          <w:sz w:val="32"/>
          <w:lang w:eastAsia="zh-CN"/>
        </w:rPr>
        <w:t>与管理</w:t>
      </w:r>
      <w:r>
        <w:rPr>
          <w:rFonts w:hint="eastAsia" w:ascii="宋体" w:hAnsi="宋体" w:eastAsia="方正仿宋_GBK" w:cs="Times New Roman"/>
          <w:b w:val="0"/>
          <w:bCs w:val="0"/>
          <w:sz w:val="32"/>
        </w:rPr>
        <w:t>”</w:t>
      </w:r>
      <w:r>
        <w:rPr>
          <w:rFonts w:hint="eastAsia" w:ascii="宋体" w:hAnsi="宋体" w:eastAsia="方正仿宋_GBK" w:cs="Times New Roman"/>
          <w:b w:val="0"/>
          <w:bCs w:val="0"/>
          <w:sz w:val="32"/>
          <w:lang w:eastAsia="zh-CN"/>
        </w:rPr>
        <w:t>进行省级项目申报</w:t>
      </w:r>
      <w:r>
        <w:rPr>
          <w:rFonts w:hint="eastAsia" w:ascii="宋体" w:hAnsi="宋体" w:eastAsia="方正仿宋_GBK"/>
          <w:b w:val="0"/>
          <w:bCs w:val="0"/>
          <w:sz w:val="32"/>
        </w:rPr>
        <w:t>。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  <w:t>网上申报材料提交后，</w:t>
      </w:r>
      <w:r>
        <w:rPr>
          <w:rFonts w:hint="eastAsia" w:ascii="宋体" w:hAnsi="宋体" w:eastAsia="方正仿宋_GBK"/>
          <w:b w:val="0"/>
          <w:bCs w:val="0"/>
          <w:snapToGrid w:val="0"/>
          <w:color w:val="000000"/>
          <w:kern w:val="0"/>
          <w:sz w:val="32"/>
          <w:szCs w:val="32"/>
        </w:rPr>
        <w:t>申报单位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  <w:t>将系统生成的项目申报书用A4纸打印，加盖单位公章后，按项目申报书、附件材料顺序装订成册（纸质封面，平装订，一式一份），逐级审核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  <w:lang w:eastAsia="zh-CN"/>
        </w:rPr>
        <w:t>推荐。</w:t>
      </w:r>
    </w:p>
    <w:p>
      <w:pPr>
        <w:keepNext w:val="0"/>
        <w:keepLines w:val="0"/>
        <w:pageBreakBefore w:val="0"/>
        <w:kinsoku/>
        <w:wordWrap w:val="0"/>
        <w:topLinePunct w:val="0"/>
        <w:autoSpaceDE w:val="0"/>
        <w:autoSpaceDN w:val="0"/>
        <w:bidi w:val="0"/>
        <w:snapToGrid w:val="0"/>
        <w:spacing w:beforeLines="0" w:afterLines="0" w:line="570" w:lineRule="exact"/>
        <w:ind w:firstLine="640" w:firstLineChars="200"/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（三）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项目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申报截止日期为202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年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val="en-US" w:eastAsia="zh-CN"/>
        </w:rPr>
        <w:t>29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日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。</w:t>
      </w:r>
      <w:r>
        <w:rPr>
          <w:rFonts w:ascii="Times New Roman" w:hAnsi="Times New Roman" w:eastAsia="方正仿宋_GBK"/>
          <w:b w:val="0"/>
          <w:bCs w:val="0"/>
          <w:sz w:val="32"/>
          <w:szCs w:val="32"/>
        </w:rPr>
        <w:t>纸质材料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  <w:lang w:eastAsia="zh-CN"/>
        </w:rPr>
        <w:t>由设区市知识产权局汇总后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  <w:t>报送省知识产权局（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寄送地址：南京市建邺区汉中门大街145号省政务服务中心二楼省知识产权保护中心综合受理窗口</w:t>
      </w:r>
      <w:r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  <w:t>）。</w:t>
      </w:r>
    </w:p>
    <w:p>
      <w:pPr>
        <w:keepNext w:val="0"/>
        <w:keepLines w:val="0"/>
        <w:pageBreakBefore w:val="0"/>
        <w:kinsoku/>
        <w:wordWrap w:val="0"/>
        <w:topLinePunct w:val="0"/>
        <w:autoSpaceDE w:val="0"/>
        <w:autoSpaceDN w:val="0"/>
        <w:bidi w:val="0"/>
        <w:snapToGrid w:val="0"/>
        <w:spacing w:beforeLines="0" w:afterLines="0" w:line="570" w:lineRule="exact"/>
        <w:ind w:firstLine="640" w:firstLineChars="200"/>
        <w:rPr>
          <w:rFonts w:hint="eastAsia" w:ascii="宋体" w:hAnsi="宋体" w:eastAsia="方正仿宋_GBK"/>
          <w:b w:val="0"/>
          <w:bCs w:val="0"/>
          <w:color w:val="000000"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 w:val="0"/>
        <w:topLinePunct w:val="0"/>
        <w:autoSpaceDE w:val="0"/>
        <w:autoSpaceDN w:val="0"/>
        <w:bidi w:val="0"/>
        <w:snapToGrid w:val="0"/>
        <w:spacing w:beforeLines="0" w:afterLines="0" w:line="570" w:lineRule="exact"/>
        <w:ind w:firstLine="640" w:firstLineChars="200"/>
        <w:jc w:val="both"/>
        <w:rPr>
          <w:rFonts w:hint="eastAsia" w:ascii="宋体" w:hAnsi="宋体" w:eastAsia="方正仿宋_GBK"/>
          <w:b w:val="0"/>
          <w:bCs w:val="0"/>
          <w:snapToGrid w:val="0"/>
          <w:color w:val="000000"/>
          <w:kern w:val="0"/>
          <w:sz w:val="32"/>
          <w:szCs w:val="20"/>
        </w:rPr>
      </w:pPr>
      <w:r>
        <w:rPr>
          <w:rFonts w:hint="eastAsia" w:ascii="宋体" w:hAnsi="宋体" w:eastAsia="方正仿宋_GBK"/>
          <w:b w:val="0"/>
          <w:bCs w:val="0"/>
          <w:snapToGrid w:val="0"/>
          <w:color w:val="000000"/>
          <w:kern w:val="0"/>
          <w:sz w:val="32"/>
          <w:szCs w:val="20"/>
        </w:rPr>
        <w:t>联系人：</w:t>
      </w:r>
      <w:r>
        <w:rPr>
          <w:rFonts w:hint="eastAsia" w:ascii="宋体" w:hAnsi="宋体" w:eastAsia="方正仿宋_GBK"/>
          <w:b w:val="0"/>
          <w:bCs w:val="0"/>
          <w:snapToGrid w:val="0"/>
          <w:color w:val="000000"/>
          <w:kern w:val="0"/>
          <w:sz w:val="32"/>
          <w:szCs w:val="32"/>
        </w:rPr>
        <w:t>省知识产权局</w:t>
      </w:r>
      <w:r>
        <w:rPr>
          <w:rFonts w:hint="eastAsia" w:ascii="宋体" w:hAnsi="宋体" w:eastAsia="方正仿宋_GBK"/>
          <w:b w:val="0"/>
          <w:bCs w:val="0"/>
          <w:snapToGrid w:val="0"/>
          <w:color w:val="auto"/>
          <w:kern w:val="0"/>
          <w:sz w:val="32"/>
          <w:szCs w:val="32"/>
          <w:lang w:eastAsia="zh-CN"/>
        </w:rPr>
        <w:t>知识产权保护处</w:t>
      </w:r>
      <w:r>
        <w:rPr>
          <w:rFonts w:hint="eastAsia" w:ascii="宋体" w:hAnsi="宋体" w:eastAsia="方正仿宋_GBK"/>
          <w:b w:val="0"/>
          <w:bCs w:val="0"/>
          <w:snapToGrid w:val="0"/>
          <w:color w:val="000000"/>
          <w:kern w:val="0"/>
          <w:sz w:val="32"/>
          <w:szCs w:val="32"/>
        </w:rPr>
        <w:t xml:space="preserve">  </w:t>
      </w:r>
      <w:r>
        <w:rPr>
          <w:rFonts w:hint="eastAsia" w:ascii="宋体" w:hAnsi="宋体" w:eastAsia="方正仿宋_GBK"/>
          <w:b w:val="0"/>
          <w:bCs w:val="0"/>
          <w:snapToGrid w:val="0"/>
          <w:color w:val="auto"/>
          <w:kern w:val="0"/>
          <w:sz w:val="32"/>
          <w:szCs w:val="32"/>
          <w:lang w:eastAsia="zh-CN"/>
        </w:rPr>
        <w:t>杨</w:t>
      </w:r>
      <w:r>
        <w:rPr>
          <w:rFonts w:hint="eastAsia" w:ascii="宋体" w:hAnsi="宋体" w:eastAsia="方正仿宋_GBK"/>
          <w:b w:val="0"/>
          <w:bCs w:val="0"/>
          <w:snapToGrid w:val="0"/>
          <w:color w:val="auto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宋体" w:hAnsi="宋体" w:eastAsia="方正仿宋_GBK"/>
          <w:b w:val="0"/>
          <w:bCs w:val="0"/>
          <w:snapToGrid w:val="0"/>
          <w:color w:val="auto"/>
          <w:kern w:val="0"/>
          <w:sz w:val="32"/>
          <w:szCs w:val="32"/>
          <w:lang w:eastAsia="zh-CN"/>
        </w:rPr>
        <w:t>晶</w:t>
      </w:r>
    </w:p>
    <w:p>
      <w:pPr>
        <w:pStyle w:val="2"/>
        <w:keepNext w:val="0"/>
        <w:keepLines w:val="0"/>
        <w:pageBreakBefore w:val="0"/>
        <w:kinsoku/>
        <w:topLinePunct w:val="0"/>
        <w:bidi w:val="0"/>
        <w:spacing w:beforeLines="0" w:afterLines="0" w:line="570" w:lineRule="exact"/>
        <w:ind w:firstLine="640" w:firstLineChars="200"/>
        <w:rPr>
          <w:b w:val="0"/>
          <w:bCs w:val="0"/>
        </w:rPr>
      </w:pPr>
      <w:r>
        <w:rPr>
          <w:rFonts w:hint="eastAsia" w:ascii="宋体" w:hAnsi="宋体" w:eastAsia="方正仿宋_GBK"/>
          <w:b w:val="0"/>
          <w:bCs w:val="0"/>
          <w:snapToGrid w:val="0"/>
          <w:color w:val="000000"/>
          <w:kern w:val="0"/>
          <w:sz w:val="32"/>
          <w:szCs w:val="20"/>
        </w:rPr>
        <w:t xml:space="preserve">电 </w:t>
      </w:r>
      <w:r>
        <w:rPr>
          <w:rFonts w:ascii="宋体" w:hAnsi="宋体" w:eastAsia="方正仿宋_GBK"/>
          <w:b w:val="0"/>
          <w:bCs w:val="0"/>
          <w:snapToGrid w:val="0"/>
          <w:color w:val="000000"/>
          <w:kern w:val="0"/>
          <w:sz w:val="32"/>
          <w:szCs w:val="20"/>
        </w:rPr>
        <w:t xml:space="preserve"> </w:t>
      </w:r>
      <w:r>
        <w:rPr>
          <w:rFonts w:hint="eastAsia" w:ascii="宋体" w:hAnsi="宋体" w:eastAsia="方正仿宋_GBK"/>
          <w:b w:val="0"/>
          <w:bCs w:val="0"/>
          <w:snapToGrid w:val="0"/>
          <w:color w:val="000000"/>
          <w:kern w:val="0"/>
          <w:sz w:val="32"/>
          <w:szCs w:val="20"/>
        </w:rPr>
        <w:t>话：0</w:t>
      </w:r>
      <w:r>
        <w:rPr>
          <w:rFonts w:ascii="宋体" w:hAnsi="宋体" w:eastAsia="方正仿宋_GBK"/>
          <w:b w:val="0"/>
          <w:bCs w:val="0"/>
          <w:snapToGrid w:val="0"/>
          <w:color w:val="000000"/>
          <w:kern w:val="0"/>
          <w:sz w:val="32"/>
          <w:szCs w:val="20"/>
        </w:rPr>
        <w:t>25-8</w:t>
      </w:r>
      <w:r>
        <w:rPr>
          <w:rFonts w:hint="eastAsia" w:ascii="宋体" w:hAnsi="宋体" w:eastAsia="方正仿宋_GBK"/>
          <w:b w:val="0"/>
          <w:bCs w:val="0"/>
          <w:snapToGrid w:val="0"/>
          <w:color w:val="auto"/>
          <w:kern w:val="0"/>
          <w:sz w:val="32"/>
          <w:szCs w:val="20"/>
          <w:lang w:val="en-US" w:eastAsia="zh-CN"/>
        </w:rPr>
        <w:t>3279961</w:t>
      </w:r>
    </w:p>
    <w:sectPr>
      <w:footerReference r:id="rId3" w:type="default"/>
      <w:pgSz w:w="11906" w:h="16838"/>
      <w:pgMar w:top="2098" w:right="1474" w:bottom="1984" w:left="1587" w:header="851" w:footer="1417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wordWrap w:val="0"/>
      <w:ind w:right="210" w:rightChars="100"/>
      <w:jc w:val="left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120015</wp:posOffset>
              </wp:positionV>
              <wp:extent cx="1828800" cy="1828800"/>
              <wp:effectExtent l="0" t="0" r="0" b="0"/>
              <wp:wrapNone/>
              <wp:docPr id="1" name="文本框 10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  <w:ind w:left="210" w:leftChars="100" w:right="210" w:rightChars="10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>40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30" o:spid="_x0000_s1026" o:spt="202" type="#_x0000_t202" style="position:absolute;left:0pt;margin-top:9.4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PhRvIPTAAAABwEAAA8AAAAAAAAAAQAgAAAAIgAAAGRycy9kb3ducmV2&#10;LnhtbFBLAQIUABQAAAAIAIdO4kCcpSDyyAEAAJwDAAAOAAAAAAAAAAEAIAAAACI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left="210" w:leftChars="100" w:right="210" w:rightChars="100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>40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0C0750A"/>
    <w:multiLevelType w:val="singleLevel"/>
    <w:tmpl w:val="B0C0750A"/>
    <w:lvl w:ilvl="0" w:tentative="0">
      <w:start w:val="1"/>
      <w:numFmt w:val="chineseCounting"/>
      <w:suff w:val="space"/>
      <w:lvlText w:val="(%1)"/>
      <w:lvlJc w:val="left"/>
      <w:rPr>
        <w:rFonts w:hint="eastAsia"/>
      </w:r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61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B79"/>
    <w:rsid w:val="00077580"/>
    <w:rsid w:val="000E1151"/>
    <w:rsid w:val="00125206"/>
    <w:rsid w:val="0015166F"/>
    <w:rsid w:val="001805FE"/>
    <w:rsid w:val="001F6BCB"/>
    <w:rsid w:val="00274E18"/>
    <w:rsid w:val="00292C8E"/>
    <w:rsid w:val="00294BDC"/>
    <w:rsid w:val="00296C4F"/>
    <w:rsid w:val="002D13EA"/>
    <w:rsid w:val="002E7DCD"/>
    <w:rsid w:val="0030278E"/>
    <w:rsid w:val="0031732E"/>
    <w:rsid w:val="0034618F"/>
    <w:rsid w:val="00352FD0"/>
    <w:rsid w:val="004A40A0"/>
    <w:rsid w:val="004F094A"/>
    <w:rsid w:val="00557540"/>
    <w:rsid w:val="00656CCF"/>
    <w:rsid w:val="00670893"/>
    <w:rsid w:val="006A653F"/>
    <w:rsid w:val="006C151D"/>
    <w:rsid w:val="00700F32"/>
    <w:rsid w:val="00784056"/>
    <w:rsid w:val="00832128"/>
    <w:rsid w:val="0083399B"/>
    <w:rsid w:val="008B6E10"/>
    <w:rsid w:val="008C1397"/>
    <w:rsid w:val="009E677E"/>
    <w:rsid w:val="00A11DFF"/>
    <w:rsid w:val="00B5195C"/>
    <w:rsid w:val="00BA40F5"/>
    <w:rsid w:val="00BF31F0"/>
    <w:rsid w:val="00C96C57"/>
    <w:rsid w:val="00CA7B0D"/>
    <w:rsid w:val="00CC126C"/>
    <w:rsid w:val="00CF3D1B"/>
    <w:rsid w:val="00CF7BF6"/>
    <w:rsid w:val="00E86626"/>
    <w:rsid w:val="00F340D7"/>
    <w:rsid w:val="00F97CC9"/>
    <w:rsid w:val="00FB2B79"/>
    <w:rsid w:val="01623F41"/>
    <w:rsid w:val="02932F12"/>
    <w:rsid w:val="02B70CEB"/>
    <w:rsid w:val="02D828C6"/>
    <w:rsid w:val="02EF001D"/>
    <w:rsid w:val="03081577"/>
    <w:rsid w:val="03695CEF"/>
    <w:rsid w:val="037E0F79"/>
    <w:rsid w:val="04197A16"/>
    <w:rsid w:val="043D189E"/>
    <w:rsid w:val="04AB5C2F"/>
    <w:rsid w:val="052F185A"/>
    <w:rsid w:val="0548467B"/>
    <w:rsid w:val="056E1EAF"/>
    <w:rsid w:val="05972E2E"/>
    <w:rsid w:val="05E03CF3"/>
    <w:rsid w:val="060F4FED"/>
    <w:rsid w:val="062560FC"/>
    <w:rsid w:val="064B3B23"/>
    <w:rsid w:val="066076D4"/>
    <w:rsid w:val="06843CA7"/>
    <w:rsid w:val="069651BE"/>
    <w:rsid w:val="06D31F11"/>
    <w:rsid w:val="072F0D2B"/>
    <w:rsid w:val="074F3B79"/>
    <w:rsid w:val="075D3072"/>
    <w:rsid w:val="076A4C11"/>
    <w:rsid w:val="07780E23"/>
    <w:rsid w:val="07AC4731"/>
    <w:rsid w:val="086F1B7B"/>
    <w:rsid w:val="08831CFB"/>
    <w:rsid w:val="09805841"/>
    <w:rsid w:val="098873C8"/>
    <w:rsid w:val="09F40F73"/>
    <w:rsid w:val="0A2173CF"/>
    <w:rsid w:val="0A2F2658"/>
    <w:rsid w:val="0A792CFF"/>
    <w:rsid w:val="0A8F5268"/>
    <w:rsid w:val="0AB05DDB"/>
    <w:rsid w:val="0AB51771"/>
    <w:rsid w:val="0AB70703"/>
    <w:rsid w:val="0AC715EA"/>
    <w:rsid w:val="0B3F2AEB"/>
    <w:rsid w:val="0B7AD24F"/>
    <w:rsid w:val="0B923DF0"/>
    <w:rsid w:val="0BD85806"/>
    <w:rsid w:val="0C6820ED"/>
    <w:rsid w:val="0D103BD7"/>
    <w:rsid w:val="0D150B3F"/>
    <w:rsid w:val="0DB761A0"/>
    <w:rsid w:val="0DF82F54"/>
    <w:rsid w:val="0E395547"/>
    <w:rsid w:val="0ED47EB4"/>
    <w:rsid w:val="0EE96737"/>
    <w:rsid w:val="0F732DC6"/>
    <w:rsid w:val="0F942423"/>
    <w:rsid w:val="0FB7727C"/>
    <w:rsid w:val="0FCF1242"/>
    <w:rsid w:val="0FD17712"/>
    <w:rsid w:val="0FDF31F9"/>
    <w:rsid w:val="103348F4"/>
    <w:rsid w:val="10636976"/>
    <w:rsid w:val="109337A1"/>
    <w:rsid w:val="111C2130"/>
    <w:rsid w:val="11F23466"/>
    <w:rsid w:val="12B06361"/>
    <w:rsid w:val="12DC277D"/>
    <w:rsid w:val="12EA4AAE"/>
    <w:rsid w:val="13CDFDAE"/>
    <w:rsid w:val="14093B05"/>
    <w:rsid w:val="141E0C22"/>
    <w:rsid w:val="1475600F"/>
    <w:rsid w:val="150B66A0"/>
    <w:rsid w:val="15231D5F"/>
    <w:rsid w:val="15A92E28"/>
    <w:rsid w:val="15D27333"/>
    <w:rsid w:val="15D93FD6"/>
    <w:rsid w:val="1603458B"/>
    <w:rsid w:val="16451D28"/>
    <w:rsid w:val="166F0954"/>
    <w:rsid w:val="170C5F04"/>
    <w:rsid w:val="178A0832"/>
    <w:rsid w:val="17CF34CA"/>
    <w:rsid w:val="17D2656E"/>
    <w:rsid w:val="18207DB4"/>
    <w:rsid w:val="18792CB6"/>
    <w:rsid w:val="189F0F57"/>
    <w:rsid w:val="18AE6977"/>
    <w:rsid w:val="18C76F54"/>
    <w:rsid w:val="19451747"/>
    <w:rsid w:val="195300E9"/>
    <w:rsid w:val="197818E6"/>
    <w:rsid w:val="19C875BC"/>
    <w:rsid w:val="19EA4EFF"/>
    <w:rsid w:val="1A84013C"/>
    <w:rsid w:val="1A9635AE"/>
    <w:rsid w:val="1ACE0F6D"/>
    <w:rsid w:val="1AD208E6"/>
    <w:rsid w:val="1B065B3A"/>
    <w:rsid w:val="1B481435"/>
    <w:rsid w:val="1B67656A"/>
    <w:rsid w:val="1B697DAE"/>
    <w:rsid w:val="1B77745A"/>
    <w:rsid w:val="1BC839A2"/>
    <w:rsid w:val="1BF56CF5"/>
    <w:rsid w:val="1C450879"/>
    <w:rsid w:val="1C5333BB"/>
    <w:rsid w:val="1CB71206"/>
    <w:rsid w:val="1CC36F4E"/>
    <w:rsid w:val="1D2E00F9"/>
    <w:rsid w:val="1D32041D"/>
    <w:rsid w:val="1D403926"/>
    <w:rsid w:val="1D516125"/>
    <w:rsid w:val="1D57692E"/>
    <w:rsid w:val="1DFFAD4B"/>
    <w:rsid w:val="1E5E0502"/>
    <w:rsid w:val="1E7E1C98"/>
    <w:rsid w:val="1E8903AA"/>
    <w:rsid w:val="1EBD5EBD"/>
    <w:rsid w:val="1EC12CA0"/>
    <w:rsid w:val="1EFA1D82"/>
    <w:rsid w:val="1F0F003E"/>
    <w:rsid w:val="1F232C99"/>
    <w:rsid w:val="1FAA4428"/>
    <w:rsid w:val="1FBFC5C3"/>
    <w:rsid w:val="20117450"/>
    <w:rsid w:val="20272EF8"/>
    <w:rsid w:val="20A125FC"/>
    <w:rsid w:val="216E4087"/>
    <w:rsid w:val="2178224A"/>
    <w:rsid w:val="21C2766E"/>
    <w:rsid w:val="2231049E"/>
    <w:rsid w:val="2233204E"/>
    <w:rsid w:val="22E36AE8"/>
    <w:rsid w:val="2359573E"/>
    <w:rsid w:val="23794B25"/>
    <w:rsid w:val="23973D79"/>
    <w:rsid w:val="23A3430B"/>
    <w:rsid w:val="23C91EAF"/>
    <w:rsid w:val="23DC3CDF"/>
    <w:rsid w:val="245B12F5"/>
    <w:rsid w:val="24B107C7"/>
    <w:rsid w:val="24D24E09"/>
    <w:rsid w:val="2583585B"/>
    <w:rsid w:val="25FB3760"/>
    <w:rsid w:val="262C090B"/>
    <w:rsid w:val="268262BF"/>
    <w:rsid w:val="26E5404B"/>
    <w:rsid w:val="272E41A9"/>
    <w:rsid w:val="278A7951"/>
    <w:rsid w:val="27C151C0"/>
    <w:rsid w:val="280F71F6"/>
    <w:rsid w:val="28610E99"/>
    <w:rsid w:val="28BD15B9"/>
    <w:rsid w:val="29724FEA"/>
    <w:rsid w:val="2985641D"/>
    <w:rsid w:val="29CF60D3"/>
    <w:rsid w:val="29EE2A64"/>
    <w:rsid w:val="29F35851"/>
    <w:rsid w:val="29FF3D02"/>
    <w:rsid w:val="2A8852EF"/>
    <w:rsid w:val="2AB879BE"/>
    <w:rsid w:val="2ABA64BC"/>
    <w:rsid w:val="2ADE09A2"/>
    <w:rsid w:val="2AF02F37"/>
    <w:rsid w:val="2B0372C2"/>
    <w:rsid w:val="2B0D3BCC"/>
    <w:rsid w:val="2BFF2B21"/>
    <w:rsid w:val="2C1155EE"/>
    <w:rsid w:val="2C381A7F"/>
    <w:rsid w:val="2C7807B6"/>
    <w:rsid w:val="2D015680"/>
    <w:rsid w:val="2D6C58C5"/>
    <w:rsid w:val="2D9B58FD"/>
    <w:rsid w:val="2DC2197A"/>
    <w:rsid w:val="2DF028C4"/>
    <w:rsid w:val="2E366F17"/>
    <w:rsid w:val="2E3C5F41"/>
    <w:rsid w:val="2E905347"/>
    <w:rsid w:val="2EB373A0"/>
    <w:rsid w:val="2F026632"/>
    <w:rsid w:val="2F244989"/>
    <w:rsid w:val="2F626E62"/>
    <w:rsid w:val="2FC15D19"/>
    <w:rsid w:val="30ED7411"/>
    <w:rsid w:val="30F74779"/>
    <w:rsid w:val="311A91F0"/>
    <w:rsid w:val="322C2620"/>
    <w:rsid w:val="323A00EB"/>
    <w:rsid w:val="323C4E15"/>
    <w:rsid w:val="3299671E"/>
    <w:rsid w:val="32B633C6"/>
    <w:rsid w:val="333648AB"/>
    <w:rsid w:val="33636AFD"/>
    <w:rsid w:val="33E60629"/>
    <w:rsid w:val="345B2292"/>
    <w:rsid w:val="34A53728"/>
    <w:rsid w:val="34D267F5"/>
    <w:rsid w:val="34EF379B"/>
    <w:rsid w:val="34FC12AA"/>
    <w:rsid w:val="35427CF4"/>
    <w:rsid w:val="35907399"/>
    <w:rsid w:val="35FC966E"/>
    <w:rsid w:val="366540DF"/>
    <w:rsid w:val="371E40CC"/>
    <w:rsid w:val="372F6FD8"/>
    <w:rsid w:val="377202FD"/>
    <w:rsid w:val="37852CD7"/>
    <w:rsid w:val="387B3B64"/>
    <w:rsid w:val="38817C62"/>
    <w:rsid w:val="38AA1C29"/>
    <w:rsid w:val="39133FEC"/>
    <w:rsid w:val="3930484F"/>
    <w:rsid w:val="39C15D98"/>
    <w:rsid w:val="3A983159"/>
    <w:rsid w:val="3AA236AE"/>
    <w:rsid w:val="3AD320F6"/>
    <w:rsid w:val="3B0D14CB"/>
    <w:rsid w:val="3B646A89"/>
    <w:rsid w:val="3B7B3F09"/>
    <w:rsid w:val="3B7F4482"/>
    <w:rsid w:val="3BCC5F7F"/>
    <w:rsid w:val="3BDB64AA"/>
    <w:rsid w:val="3BEA3CD0"/>
    <w:rsid w:val="3BF78306"/>
    <w:rsid w:val="3C1A1A9F"/>
    <w:rsid w:val="3C7B2229"/>
    <w:rsid w:val="3CAB55C8"/>
    <w:rsid w:val="3CCD0B54"/>
    <w:rsid w:val="3CD91764"/>
    <w:rsid w:val="3D350219"/>
    <w:rsid w:val="3D484B19"/>
    <w:rsid w:val="3D514C38"/>
    <w:rsid w:val="3D7FCE01"/>
    <w:rsid w:val="3DB87117"/>
    <w:rsid w:val="3DD16D70"/>
    <w:rsid w:val="3DDA71CD"/>
    <w:rsid w:val="3E6C2268"/>
    <w:rsid w:val="3ECC0D8F"/>
    <w:rsid w:val="3EE83BA6"/>
    <w:rsid w:val="3F024A75"/>
    <w:rsid w:val="3F4032BA"/>
    <w:rsid w:val="3FCD67BD"/>
    <w:rsid w:val="3FFB6206"/>
    <w:rsid w:val="3FFE7F76"/>
    <w:rsid w:val="41A17893"/>
    <w:rsid w:val="41B97FB7"/>
    <w:rsid w:val="41D64887"/>
    <w:rsid w:val="420B1672"/>
    <w:rsid w:val="42BA2795"/>
    <w:rsid w:val="42D03A39"/>
    <w:rsid w:val="43735DF8"/>
    <w:rsid w:val="43D23316"/>
    <w:rsid w:val="43D66A1E"/>
    <w:rsid w:val="4421180D"/>
    <w:rsid w:val="449B6EC4"/>
    <w:rsid w:val="44BE506E"/>
    <w:rsid w:val="44FE6F2A"/>
    <w:rsid w:val="4523201A"/>
    <w:rsid w:val="45424238"/>
    <w:rsid w:val="456F515C"/>
    <w:rsid w:val="459D5D39"/>
    <w:rsid w:val="45B32366"/>
    <w:rsid w:val="45C4752C"/>
    <w:rsid w:val="461835A1"/>
    <w:rsid w:val="46FD0B9A"/>
    <w:rsid w:val="470165E3"/>
    <w:rsid w:val="47311D3C"/>
    <w:rsid w:val="47355D13"/>
    <w:rsid w:val="474155C4"/>
    <w:rsid w:val="47D975FC"/>
    <w:rsid w:val="47F45C17"/>
    <w:rsid w:val="47F66A8F"/>
    <w:rsid w:val="487704B5"/>
    <w:rsid w:val="48C56AFF"/>
    <w:rsid w:val="48E27587"/>
    <w:rsid w:val="48F70F7D"/>
    <w:rsid w:val="49027589"/>
    <w:rsid w:val="496B10B3"/>
    <w:rsid w:val="49B919D8"/>
    <w:rsid w:val="49FD45D0"/>
    <w:rsid w:val="4A3063D5"/>
    <w:rsid w:val="4A315B13"/>
    <w:rsid w:val="4A4E0479"/>
    <w:rsid w:val="4A7150D9"/>
    <w:rsid w:val="4B4F2C3A"/>
    <w:rsid w:val="4B7FB648"/>
    <w:rsid w:val="4BBFD0BD"/>
    <w:rsid w:val="4BDB4739"/>
    <w:rsid w:val="4CC73E01"/>
    <w:rsid w:val="4D285E72"/>
    <w:rsid w:val="4D41248A"/>
    <w:rsid w:val="4D730E63"/>
    <w:rsid w:val="4D7B025A"/>
    <w:rsid w:val="4DBD3DD7"/>
    <w:rsid w:val="4DBF9A8C"/>
    <w:rsid w:val="4DD27D4B"/>
    <w:rsid w:val="4E0E4068"/>
    <w:rsid w:val="4EAF2E10"/>
    <w:rsid w:val="4F006F0A"/>
    <w:rsid w:val="4F096B3D"/>
    <w:rsid w:val="4F443E51"/>
    <w:rsid w:val="4F5335BF"/>
    <w:rsid w:val="4FD77FB6"/>
    <w:rsid w:val="50CE682B"/>
    <w:rsid w:val="50FB7905"/>
    <w:rsid w:val="514F4AB0"/>
    <w:rsid w:val="51D47717"/>
    <w:rsid w:val="51DF7316"/>
    <w:rsid w:val="520F494D"/>
    <w:rsid w:val="522E467E"/>
    <w:rsid w:val="524B52A4"/>
    <w:rsid w:val="526718D0"/>
    <w:rsid w:val="52743D93"/>
    <w:rsid w:val="52756177"/>
    <w:rsid w:val="52993941"/>
    <w:rsid w:val="533E55D5"/>
    <w:rsid w:val="53CE3B79"/>
    <w:rsid w:val="53D50147"/>
    <w:rsid w:val="53E01A26"/>
    <w:rsid w:val="543360B8"/>
    <w:rsid w:val="544A421C"/>
    <w:rsid w:val="54535836"/>
    <w:rsid w:val="55470EE1"/>
    <w:rsid w:val="557377F0"/>
    <w:rsid w:val="55C666D2"/>
    <w:rsid w:val="55CC30D1"/>
    <w:rsid w:val="55F62ED4"/>
    <w:rsid w:val="560E3BD2"/>
    <w:rsid w:val="561F0BF0"/>
    <w:rsid w:val="563F19A9"/>
    <w:rsid w:val="56544114"/>
    <w:rsid w:val="5665FD09"/>
    <w:rsid w:val="56660B64"/>
    <w:rsid w:val="56A262BB"/>
    <w:rsid w:val="56B40263"/>
    <w:rsid w:val="56BF67A6"/>
    <w:rsid w:val="57A92996"/>
    <w:rsid w:val="57AE1C69"/>
    <w:rsid w:val="581E4228"/>
    <w:rsid w:val="589D5122"/>
    <w:rsid w:val="59AE0D1C"/>
    <w:rsid w:val="59DF28B1"/>
    <w:rsid w:val="5A015A70"/>
    <w:rsid w:val="5A66009A"/>
    <w:rsid w:val="5B2E1D57"/>
    <w:rsid w:val="5B552838"/>
    <w:rsid w:val="5B651FA7"/>
    <w:rsid w:val="5B9D0AAB"/>
    <w:rsid w:val="5BC96613"/>
    <w:rsid w:val="5BDC4298"/>
    <w:rsid w:val="5CAE4A21"/>
    <w:rsid w:val="5CBA09E9"/>
    <w:rsid w:val="5D085BC4"/>
    <w:rsid w:val="5D4A553D"/>
    <w:rsid w:val="5D82730A"/>
    <w:rsid w:val="5D9B530F"/>
    <w:rsid w:val="5DAC0107"/>
    <w:rsid w:val="5DBF5997"/>
    <w:rsid w:val="5E494B95"/>
    <w:rsid w:val="5E941018"/>
    <w:rsid w:val="5EA3291A"/>
    <w:rsid w:val="5EFE1815"/>
    <w:rsid w:val="5F3EA7E3"/>
    <w:rsid w:val="5F4714A8"/>
    <w:rsid w:val="5F77660F"/>
    <w:rsid w:val="5F9556A8"/>
    <w:rsid w:val="5FB78734"/>
    <w:rsid w:val="5FDD31BF"/>
    <w:rsid w:val="60526185"/>
    <w:rsid w:val="608E1ACD"/>
    <w:rsid w:val="6090481A"/>
    <w:rsid w:val="610C5EB5"/>
    <w:rsid w:val="61253206"/>
    <w:rsid w:val="616832AC"/>
    <w:rsid w:val="617E6BDA"/>
    <w:rsid w:val="618D5D3B"/>
    <w:rsid w:val="61F02E9D"/>
    <w:rsid w:val="620216F4"/>
    <w:rsid w:val="62EB2896"/>
    <w:rsid w:val="631170E0"/>
    <w:rsid w:val="6336095C"/>
    <w:rsid w:val="635F0496"/>
    <w:rsid w:val="64445BA2"/>
    <w:rsid w:val="646517E8"/>
    <w:rsid w:val="64A72EAF"/>
    <w:rsid w:val="64B30E09"/>
    <w:rsid w:val="65BF161D"/>
    <w:rsid w:val="65E11811"/>
    <w:rsid w:val="65EA4E03"/>
    <w:rsid w:val="66407539"/>
    <w:rsid w:val="66694B7E"/>
    <w:rsid w:val="66C55E9A"/>
    <w:rsid w:val="67091E70"/>
    <w:rsid w:val="679C0223"/>
    <w:rsid w:val="67C225D4"/>
    <w:rsid w:val="68452810"/>
    <w:rsid w:val="68C97132"/>
    <w:rsid w:val="68D31B64"/>
    <w:rsid w:val="68D82B03"/>
    <w:rsid w:val="69117EA4"/>
    <w:rsid w:val="69652FF1"/>
    <w:rsid w:val="698F0030"/>
    <w:rsid w:val="69D1706F"/>
    <w:rsid w:val="6A9A33F7"/>
    <w:rsid w:val="6A9B011C"/>
    <w:rsid w:val="6AA44A6C"/>
    <w:rsid w:val="6B023CDB"/>
    <w:rsid w:val="6B04461C"/>
    <w:rsid w:val="6B5179B7"/>
    <w:rsid w:val="6B5460CA"/>
    <w:rsid w:val="6B6F0BAE"/>
    <w:rsid w:val="6B8C5858"/>
    <w:rsid w:val="6BDA38DE"/>
    <w:rsid w:val="6C170E2E"/>
    <w:rsid w:val="6C375DC5"/>
    <w:rsid w:val="6C825692"/>
    <w:rsid w:val="6CEB04EC"/>
    <w:rsid w:val="6D493CB0"/>
    <w:rsid w:val="6DD74019"/>
    <w:rsid w:val="6E753827"/>
    <w:rsid w:val="6EED7E6F"/>
    <w:rsid w:val="6FB27C07"/>
    <w:rsid w:val="6FBF929A"/>
    <w:rsid w:val="6FCA244C"/>
    <w:rsid w:val="6FFF848C"/>
    <w:rsid w:val="70303898"/>
    <w:rsid w:val="70847F00"/>
    <w:rsid w:val="70EA4E51"/>
    <w:rsid w:val="710A443F"/>
    <w:rsid w:val="7131248F"/>
    <w:rsid w:val="713F7345"/>
    <w:rsid w:val="717C2435"/>
    <w:rsid w:val="71B841F3"/>
    <w:rsid w:val="71D74796"/>
    <w:rsid w:val="71F80961"/>
    <w:rsid w:val="71F97C4E"/>
    <w:rsid w:val="723E2560"/>
    <w:rsid w:val="7248534D"/>
    <w:rsid w:val="7272BC20"/>
    <w:rsid w:val="72B041A2"/>
    <w:rsid w:val="72FFA137"/>
    <w:rsid w:val="73A6235F"/>
    <w:rsid w:val="743742AD"/>
    <w:rsid w:val="744B6FB7"/>
    <w:rsid w:val="746615C5"/>
    <w:rsid w:val="74CF46AB"/>
    <w:rsid w:val="75674884"/>
    <w:rsid w:val="757E5FD3"/>
    <w:rsid w:val="75BC3991"/>
    <w:rsid w:val="763F627E"/>
    <w:rsid w:val="764521B0"/>
    <w:rsid w:val="76F4051F"/>
    <w:rsid w:val="77513300"/>
    <w:rsid w:val="785262ED"/>
    <w:rsid w:val="78F80979"/>
    <w:rsid w:val="79614373"/>
    <w:rsid w:val="796F00F0"/>
    <w:rsid w:val="79764476"/>
    <w:rsid w:val="79A101A1"/>
    <w:rsid w:val="7A262B9F"/>
    <w:rsid w:val="7A75157D"/>
    <w:rsid w:val="7A7C3A0A"/>
    <w:rsid w:val="7A7FE365"/>
    <w:rsid w:val="7A997CD1"/>
    <w:rsid w:val="7AB33D0D"/>
    <w:rsid w:val="7B2E5200"/>
    <w:rsid w:val="7B975974"/>
    <w:rsid w:val="7BB7025C"/>
    <w:rsid w:val="7BEE1A52"/>
    <w:rsid w:val="7BEF8F99"/>
    <w:rsid w:val="7BFF15FA"/>
    <w:rsid w:val="7C203544"/>
    <w:rsid w:val="7C48171E"/>
    <w:rsid w:val="7C5F4B6D"/>
    <w:rsid w:val="7C7A7EBA"/>
    <w:rsid w:val="7CBF8939"/>
    <w:rsid w:val="7CF37205"/>
    <w:rsid w:val="7CFE3113"/>
    <w:rsid w:val="7DB24093"/>
    <w:rsid w:val="7DB39DA3"/>
    <w:rsid w:val="7DBDA398"/>
    <w:rsid w:val="7DFF30D0"/>
    <w:rsid w:val="7E084CA7"/>
    <w:rsid w:val="7E2C087D"/>
    <w:rsid w:val="7E327285"/>
    <w:rsid w:val="7E77FBAC"/>
    <w:rsid w:val="7EDB5BEE"/>
    <w:rsid w:val="7EDF444F"/>
    <w:rsid w:val="7EFD4BC1"/>
    <w:rsid w:val="7F2C8C8E"/>
    <w:rsid w:val="7F343EB7"/>
    <w:rsid w:val="7F4620FB"/>
    <w:rsid w:val="7FEB1C37"/>
    <w:rsid w:val="8AB611C6"/>
    <w:rsid w:val="A5B7AB9F"/>
    <w:rsid w:val="BA7B23C6"/>
    <w:rsid w:val="BBDF0485"/>
    <w:rsid w:val="BDB32AB0"/>
    <w:rsid w:val="BF1E5F71"/>
    <w:rsid w:val="BF5AAB39"/>
    <w:rsid w:val="BFD78559"/>
    <w:rsid w:val="BFEFB37E"/>
    <w:rsid w:val="BFFC5655"/>
    <w:rsid w:val="CDBB1AA3"/>
    <w:rsid w:val="CF73AAE8"/>
    <w:rsid w:val="DFDC8DFD"/>
    <w:rsid w:val="DFEFEA5E"/>
    <w:rsid w:val="E1BFC675"/>
    <w:rsid w:val="EDFF9857"/>
    <w:rsid w:val="EF2F13B1"/>
    <w:rsid w:val="EF7F05E8"/>
    <w:rsid w:val="EFBF7176"/>
    <w:rsid w:val="EFD7FC07"/>
    <w:rsid w:val="F0FF52DA"/>
    <w:rsid w:val="F37F1CD5"/>
    <w:rsid w:val="F58F4169"/>
    <w:rsid w:val="F5EC5DFB"/>
    <w:rsid w:val="F5FD0536"/>
    <w:rsid w:val="F63D78B7"/>
    <w:rsid w:val="F77DB186"/>
    <w:rsid w:val="F7E7FE0F"/>
    <w:rsid w:val="F7FA4D34"/>
    <w:rsid w:val="F7FF7337"/>
    <w:rsid w:val="FBF32459"/>
    <w:rsid w:val="FCFAB704"/>
    <w:rsid w:val="FD3BF20D"/>
    <w:rsid w:val="FD3E228D"/>
    <w:rsid w:val="FD5E64A4"/>
    <w:rsid w:val="FD8B53E4"/>
    <w:rsid w:val="FDF93928"/>
    <w:rsid w:val="FDFF6D88"/>
    <w:rsid w:val="FE7DEEDE"/>
    <w:rsid w:val="FE94ED11"/>
    <w:rsid w:val="FEF12C72"/>
    <w:rsid w:val="FF76DAC5"/>
    <w:rsid w:val="FFCD55F0"/>
    <w:rsid w:val="FFDA5554"/>
    <w:rsid w:val="FFECB64F"/>
    <w:rsid w:val="FFF34E1D"/>
    <w:rsid w:val="FFFFB26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10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  <w:style w:type="paragraph" w:styleId="4">
    <w:name w:val="annotation text"/>
    <w:basedOn w:val="1"/>
    <w:qFormat/>
    <w:uiPriority w:val="99"/>
    <w:pPr>
      <w:jc w:val="left"/>
    </w:pPr>
    <w:rPr>
      <w:rFonts w:cs="黑体"/>
      <w:kern w:val="0"/>
      <w:sz w:val="24"/>
      <w:szCs w:val="20"/>
    </w:rPr>
  </w:style>
  <w:style w:type="paragraph" w:styleId="5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0"/>
      <w:sz w:val="18"/>
      <w:szCs w:val="18"/>
    </w:rPr>
  </w:style>
  <w:style w:type="paragraph" w:styleId="7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sz w:val="18"/>
      <w:szCs w:val="18"/>
    </w:rPr>
  </w:style>
  <w:style w:type="paragraph" w:styleId="8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11">
    <w:name w:val="page number"/>
    <w:basedOn w:val="10"/>
    <w:qFormat/>
    <w:uiPriority w:val="0"/>
  </w:style>
  <w:style w:type="character" w:customStyle="1" w:styleId="12">
    <w:name w:val="批注框文本 Char"/>
    <w:basedOn w:val="10"/>
    <w:link w:val="5"/>
    <w:semiHidden/>
    <w:qFormat/>
    <w:uiPriority w:val="99"/>
    <w:rPr>
      <w:rFonts w:ascii="Calibri" w:hAnsi="Calibri" w:eastAsia="宋体" w:cs="Times New Roman"/>
      <w:kern w:val="2"/>
      <w:sz w:val="18"/>
      <w:szCs w:val="18"/>
    </w:rPr>
  </w:style>
  <w:style w:type="paragraph" w:customStyle="1" w:styleId="13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  <w:szCs w:val="22"/>
    </w:rPr>
  </w:style>
  <w:style w:type="paragraph" w:styleId="14">
    <w:name w:val="List Paragraph"/>
    <w:basedOn w:val="1"/>
    <w:qFormat/>
    <w:uiPriority w:val="34"/>
    <w:pPr>
      <w:ind w:firstLine="420" w:firstLineChars="200"/>
    </w:pPr>
    <w:rPr>
      <w:rFonts w:cs="黑体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37</Pages>
  <Words>2645</Words>
  <Characters>15079</Characters>
  <Lines>125</Lines>
  <Paragraphs>35</Paragraphs>
  <TotalTime>2</TotalTime>
  <ScaleCrop>false</ScaleCrop>
  <LinksUpToDate>false</LinksUpToDate>
  <CharactersWithSpaces>17689</CharactersWithSpaces>
  <Application>WPS Office_11.8.6.11021_F1E327BC-269C-435d-A152-05C5408002CA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2020-03-19T09:14:00Z</dcterms:created>
  <dc:creator>Wynd</dc:creator>
  <cp:lastModifiedBy>1</cp:lastModifiedBy>
  <cp:lastPrinted>2023-12-15T05:42:00Z</cp:lastPrinted>
  <dcterms:modified xsi:type="dcterms:W3CDTF">2023-12-28T01:38:39Z</dcterms:modified>
  <dc:title>关于组织申报2023年度省知识产权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2052-11.8.6.11021</vt:lpwstr>
  </property>
  <property fmtid="{D5CDD505-2E9C-101B-9397-08002B2CF9AE}" pid="3" name="ICV">
    <vt:lpwstr>887041105D984E5988DF967A600C81FE</vt:lpwstr>
  </property>
</Properties>
</file>