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06DC" w:rsidRDefault="00D906DC" w:rsidP="00BD4DF4">
      <w:pPr>
        <w:adjustRightInd w:val="0"/>
        <w:snapToGrid w:val="0"/>
        <w:spacing w:line="336" w:lineRule="auto"/>
        <w:jc w:val="center"/>
        <w:rPr>
          <w:rFonts w:ascii="宋体"/>
          <w:b/>
          <w:bCs/>
          <w:sz w:val="36"/>
          <w:szCs w:val="36"/>
        </w:rPr>
      </w:pPr>
    </w:p>
    <w:p w:rsidR="00D906DC" w:rsidRPr="00577BF9" w:rsidRDefault="00D906DC" w:rsidP="00BD4DF4">
      <w:pPr>
        <w:adjustRightInd w:val="0"/>
        <w:snapToGrid w:val="0"/>
        <w:spacing w:line="336" w:lineRule="auto"/>
        <w:jc w:val="center"/>
        <w:rPr>
          <w:rFonts w:ascii="方正小标宋简体" w:eastAsia="方正小标宋简体"/>
          <w:sz w:val="36"/>
          <w:szCs w:val="36"/>
        </w:rPr>
      </w:pPr>
      <w:r w:rsidRPr="00577BF9">
        <w:rPr>
          <w:rFonts w:ascii="方正小标宋简体" w:eastAsia="方正小标宋简体" w:hAnsi="宋体" w:hint="eastAsia"/>
          <w:sz w:val="36"/>
          <w:szCs w:val="36"/>
        </w:rPr>
        <w:t>目  录</w:t>
      </w:r>
    </w:p>
    <w:p w:rsidR="00D906DC" w:rsidRDefault="00D906DC" w:rsidP="00BD4DF4">
      <w:pPr>
        <w:adjustRightInd w:val="0"/>
        <w:snapToGrid w:val="0"/>
        <w:spacing w:line="336" w:lineRule="auto"/>
        <w:jc w:val="center"/>
        <w:rPr>
          <w:rFonts w:ascii="宋体"/>
          <w:b/>
          <w:bCs/>
          <w:sz w:val="36"/>
          <w:szCs w:val="36"/>
        </w:rPr>
      </w:pPr>
    </w:p>
    <w:p w:rsidR="00D906DC" w:rsidRPr="009E70D0" w:rsidRDefault="009B0DD2" w:rsidP="00470256">
      <w:pPr>
        <w:adjustRightInd w:val="0"/>
        <w:snapToGrid w:val="0"/>
        <w:spacing w:line="480" w:lineRule="auto"/>
        <w:jc w:val="left"/>
        <w:rPr>
          <w:rFonts w:ascii="华文中宋" w:eastAsia="华文中宋" w:hAnsi="华文中宋"/>
          <w:bCs/>
          <w:sz w:val="32"/>
          <w:szCs w:val="32"/>
        </w:rPr>
      </w:pPr>
      <w:r w:rsidRPr="001B1321">
        <w:rPr>
          <w:rFonts w:hint="eastAsia"/>
          <w:bCs/>
          <w:sz w:val="32"/>
          <w:szCs w:val="32"/>
        </w:rPr>
        <w:t>1</w:t>
      </w:r>
      <w:r w:rsidRPr="001B1321">
        <w:rPr>
          <w:bCs/>
          <w:sz w:val="32"/>
          <w:szCs w:val="32"/>
        </w:rPr>
        <w:t>.</w:t>
      </w:r>
      <w:r w:rsidR="002D4A9A" w:rsidRPr="009E70D0">
        <w:rPr>
          <w:rFonts w:ascii="华文中宋" w:eastAsia="华文中宋" w:hAnsi="华文中宋"/>
          <w:bCs/>
          <w:sz w:val="32"/>
          <w:szCs w:val="32"/>
        </w:rPr>
        <w:t>2019</w:t>
      </w:r>
      <w:r w:rsidR="002D4A9A" w:rsidRPr="009E70D0">
        <w:rPr>
          <w:rFonts w:ascii="华文中宋" w:eastAsia="华文中宋" w:hAnsi="华文中宋" w:hint="eastAsia"/>
          <w:bCs/>
          <w:sz w:val="32"/>
          <w:szCs w:val="32"/>
        </w:rPr>
        <w:t>年江苏法院知识产权司法保护十大案例</w:t>
      </w:r>
      <w:r w:rsidR="002D4A9A">
        <w:rPr>
          <w:bCs/>
          <w:sz w:val="32"/>
          <w:szCs w:val="32"/>
        </w:rPr>
        <w:t>………………</w:t>
      </w:r>
      <w:r w:rsidR="00F3170E">
        <w:rPr>
          <w:rFonts w:hint="eastAsia"/>
          <w:bCs/>
          <w:sz w:val="32"/>
          <w:szCs w:val="32"/>
        </w:rPr>
        <w:t>.</w:t>
      </w:r>
      <w:r w:rsidR="00470256" w:rsidRPr="009E70D0">
        <w:rPr>
          <w:bCs/>
          <w:sz w:val="32"/>
          <w:szCs w:val="32"/>
        </w:rPr>
        <w:t>0</w:t>
      </w:r>
      <w:r w:rsidR="00D906DC" w:rsidRPr="009E70D0">
        <w:rPr>
          <w:bCs/>
          <w:sz w:val="32"/>
          <w:szCs w:val="32"/>
        </w:rPr>
        <w:t>01</w:t>
      </w:r>
    </w:p>
    <w:p w:rsidR="002D4A9A" w:rsidRDefault="009B0DD2" w:rsidP="002D4A9A">
      <w:pPr>
        <w:adjustRightInd w:val="0"/>
        <w:snapToGrid w:val="0"/>
        <w:spacing w:line="480" w:lineRule="auto"/>
        <w:ind w:left="320" w:hangingChars="100" w:hanging="320"/>
        <w:rPr>
          <w:bCs/>
          <w:sz w:val="32"/>
          <w:szCs w:val="32"/>
        </w:rPr>
      </w:pPr>
      <w:r w:rsidRPr="001B1321">
        <w:rPr>
          <w:rFonts w:hint="eastAsia"/>
          <w:bCs/>
          <w:sz w:val="32"/>
          <w:szCs w:val="32"/>
        </w:rPr>
        <w:t>2</w:t>
      </w:r>
      <w:r w:rsidRPr="001B1321">
        <w:rPr>
          <w:bCs/>
          <w:sz w:val="32"/>
          <w:szCs w:val="32"/>
        </w:rPr>
        <w:t>.</w:t>
      </w:r>
      <w:r w:rsidR="002D4A9A" w:rsidRPr="002D4A9A">
        <w:rPr>
          <w:bCs/>
          <w:sz w:val="32"/>
          <w:szCs w:val="32"/>
        </w:rPr>
        <w:t xml:space="preserve"> </w:t>
      </w:r>
      <w:r w:rsidR="002D4A9A" w:rsidRPr="00470256">
        <w:rPr>
          <w:bCs/>
          <w:sz w:val="32"/>
          <w:szCs w:val="32"/>
        </w:rPr>
        <w:t>Top Ten Cases on Judicial Protection of Intellectual Property</w:t>
      </w:r>
    </w:p>
    <w:p w:rsidR="00D906DC" w:rsidRPr="009E70D0" w:rsidRDefault="002D4A9A" w:rsidP="002D4A9A">
      <w:pPr>
        <w:adjustRightInd w:val="0"/>
        <w:snapToGrid w:val="0"/>
        <w:spacing w:line="480" w:lineRule="auto"/>
        <w:ind w:firstLineChars="100" w:firstLine="320"/>
        <w:rPr>
          <w:rFonts w:ascii="华文中宋" w:eastAsia="华文中宋" w:hAnsi="华文中宋"/>
          <w:bCs/>
          <w:sz w:val="32"/>
          <w:szCs w:val="32"/>
        </w:rPr>
      </w:pPr>
      <w:r w:rsidRPr="00470256">
        <w:rPr>
          <w:bCs/>
          <w:sz w:val="32"/>
          <w:szCs w:val="32"/>
        </w:rPr>
        <w:t>Rights by Courts of Jiangsu Province in 2019</w:t>
      </w:r>
      <w:r>
        <w:rPr>
          <w:bCs/>
          <w:sz w:val="32"/>
          <w:szCs w:val="32"/>
        </w:rPr>
        <w:t>………………</w:t>
      </w:r>
      <w:r>
        <w:rPr>
          <w:rFonts w:hint="eastAsia"/>
          <w:bCs/>
          <w:sz w:val="32"/>
          <w:szCs w:val="32"/>
        </w:rPr>
        <w:t>..</w:t>
      </w:r>
      <w:r>
        <w:rPr>
          <w:bCs/>
          <w:sz w:val="32"/>
          <w:szCs w:val="32"/>
        </w:rPr>
        <w:t>…</w:t>
      </w:r>
      <w:r w:rsidR="00470256" w:rsidRPr="009E70D0">
        <w:rPr>
          <w:bCs/>
          <w:sz w:val="32"/>
          <w:szCs w:val="32"/>
        </w:rPr>
        <w:t>0</w:t>
      </w:r>
      <w:r w:rsidR="008335A8">
        <w:rPr>
          <w:rFonts w:hint="eastAsia"/>
          <w:bCs/>
          <w:sz w:val="32"/>
          <w:szCs w:val="32"/>
        </w:rPr>
        <w:t>84</w:t>
      </w:r>
    </w:p>
    <w:p w:rsidR="00D906DC" w:rsidRPr="00470256" w:rsidRDefault="00D906DC" w:rsidP="009248AA">
      <w:pPr>
        <w:adjustRightInd w:val="0"/>
        <w:snapToGrid w:val="0"/>
        <w:spacing w:line="336" w:lineRule="auto"/>
        <w:rPr>
          <w:rFonts w:ascii="仿宋_GB2312" w:eastAsia="仿宋_GB2312" w:hAnsi="宋体"/>
          <w:bCs/>
          <w:sz w:val="32"/>
          <w:szCs w:val="32"/>
        </w:rPr>
      </w:pPr>
    </w:p>
    <w:p w:rsidR="00D906DC" w:rsidRDefault="00D906DC" w:rsidP="00B31360">
      <w:pPr>
        <w:tabs>
          <w:tab w:val="left" w:pos="2868"/>
        </w:tabs>
        <w:adjustRightInd w:val="0"/>
        <w:snapToGrid w:val="0"/>
        <w:spacing w:line="336" w:lineRule="auto"/>
        <w:rPr>
          <w:rFonts w:ascii="仿宋_GB2312" w:eastAsia="仿宋_GB2312" w:hAnsi="宋体"/>
          <w:bCs/>
          <w:sz w:val="30"/>
          <w:szCs w:val="30"/>
        </w:rPr>
      </w:pPr>
      <w:r>
        <w:rPr>
          <w:rFonts w:ascii="仿宋_GB2312" w:eastAsia="仿宋_GB2312" w:hAnsi="宋体"/>
          <w:bCs/>
          <w:sz w:val="30"/>
          <w:szCs w:val="30"/>
        </w:rPr>
        <w:tab/>
      </w:r>
    </w:p>
    <w:p w:rsidR="00275F1F" w:rsidRDefault="00D906DC" w:rsidP="00B31360">
      <w:pPr>
        <w:tabs>
          <w:tab w:val="left" w:pos="2868"/>
        </w:tabs>
        <w:adjustRightInd w:val="0"/>
        <w:snapToGrid w:val="0"/>
        <w:spacing w:line="336" w:lineRule="auto"/>
        <w:rPr>
          <w:rFonts w:ascii="仿宋_GB2312" w:eastAsia="仿宋_GB2312" w:hAnsi="宋体"/>
          <w:bCs/>
          <w:sz w:val="30"/>
          <w:szCs w:val="30"/>
        </w:rPr>
        <w:sectPr w:rsidR="00275F1F" w:rsidSect="00275F1F">
          <w:headerReference w:type="default" r:id="rId7"/>
          <w:footerReference w:type="even" r:id="rId8"/>
          <w:footerReference w:type="default" r:id="rId9"/>
          <w:pgSz w:w="11906" w:h="16838" w:code="9"/>
          <w:pgMar w:top="2268" w:right="1418" w:bottom="1701" w:left="1418" w:header="851" w:footer="992" w:gutter="0"/>
          <w:pgNumType w:start="1"/>
          <w:cols w:space="425"/>
          <w:docGrid w:linePitch="312"/>
        </w:sectPr>
      </w:pPr>
      <w:r>
        <w:rPr>
          <w:rFonts w:ascii="仿宋_GB2312" w:eastAsia="仿宋_GB2312" w:hAnsi="宋体"/>
          <w:bCs/>
          <w:sz w:val="30"/>
          <w:szCs w:val="30"/>
        </w:rPr>
        <w:br w:type="page"/>
      </w:r>
    </w:p>
    <w:p w:rsidR="00D906DC" w:rsidRDefault="00D906DC" w:rsidP="00E711DA">
      <w:pPr>
        <w:adjustRightInd w:val="0"/>
        <w:snapToGrid w:val="0"/>
        <w:spacing w:line="520" w:lineRule="exact"/>
        <w:jc w:val="center"/>
        <w:rPr>
          <w:rFonts w:ascii="方正小标宋简体" w:eastAsia="方正小标宋简体"/>
          <w:sz w:val="36"/>
          <w:szCs w:val="36"/>
        </w:rPr>
      </w:pPr>
      <w:r>
        <w:rPr>
          <w:rFonts w:ascii="方正小标宋简体" w:eastAsia="方正小标宋简体"/>
          <w:sz w:val="36"/>
          <w:szCs w:val="36"/>
        </w:rPr>
        <w:lastRenderedPageBreak/>
        <w:t>2019</w:t>
      </w:r>
      <w:r w:rsidRPr="00265CAA">
        <w:rPr>
          <w:rFonts w:ascii="方正小标宋简体" w:eastAsia="方正小标宋简体" w:hint="eastAsia"/>
          <w:sz w:val="36"/>
          <w:szCs w:val="36"/>
        </w:rPr>
        <w:t>年江苏法院知识产权司法保护十大案例</w:t>
      </w:r>
    </w:p>
    <w:p w:rsidR="00D906DC" w:rsidRDefault="00D906DC" w:rsidP="00E711DA">
      <w:pPr>
        <w:adjustRightInd w:val="0"/>
        <w:snapToGrid w:val="0"/>
        <w:spacing w:line="520" w:lineRule="exact"/>
        <w:jc w:val="center"/>
        <w:rPr>
          <w:rFonts w:ascii="宋体"/>
          <w:b/>
          <w:bCs/>
          <w:sz w:val="36"/>
          <w:szCs w:val="36"/>
        </w:rPr>
      </w:pPr>
    </w:p>
    <w:p w:rsidR="00D906DC" w:rsidRDefault="00D906DC" w:rsidP="00E711DA">
      <w:pPr>
        <w:pStyle w:val="10"/>
      </w:pPr>
    </w:p>
    <w:p w:rsidR="00D906DC" w:rsidRDefault="00D906DC" w:rsidP="00E711DA">
      <w:pPr>
        <w:pStyle w:val="10"/>
      </w:pPr>
      <w:r w:rsidRPr="009D0581">
        <w:rPr>
          <w:rFonts w:ascii="方正小标宋简体" w:eastAsia="方正小标宋简体" w:hint="eastAsia"/>
        </w:rPr>
        <w:t>民事案件</w:t>
      </w:r>
    </w:p>
    <w:p w:rsidR="00D906DC" w:rsidRPr="009D0581" w:rsidRDefault="008906E9" w:rsidP="00E711DA">
      <w:pPr>
        <w:pStyle w:val="10"/>
        <w:rPr>
          <w:rFonts w:hAnsi="Calibri"/>
        </w:rPr>
      </w:pPr>
      <w:r w:rsidRPr="008906E9">
        <w:fldChar w:fldCharType="begin"/>
      </w:r>
      <w:r w:rsidR="00D906DC" w:rsidRPr="009D0581">
        <w:instrText xml:space="preserve"> TOC \o "1-2" \u </w:instrText>
      </w:r>
      <w:r w:rsidRPr="008906E9">
        <w:fldChar w:fldCharType="separate"/>
      </w:r>
      <w:r w:rsidR="00D906DC" w:rsidRPr="009D0581">
        <w:t>1.</w:t>
      </w:r>
      <w:r w:rsidR="00D906DC" w:rsidRPr="009D0581">
        <w:rPr>
          <w:rFonts w:hint="eastAsia"/>
        </w:rPr>
        <w:t>网络游戏“换皮”抄袭的著作权侵权认定案</w:t>
      </w:r>
    </w:p>
    <w:p w:rsidR="00D906DC" w:rsidRPr="009D0581" w:rsidRDefault="00D906DC" w:rsidP="005F3E79">
      <w:pPr>
        <w:pStyle w:val="21"/>
        <w:tabs>
          <w:tab w:val="right" w:leader="dot" w:pos="9060"/>
        </w:tabs>
        <w:adjustRightInd w:val="0"/>
        <w:snapToGrid w:val="0"/>
        <w:spacing w:line="520" w:lineRule="exact"/>
        <w:rPr>
          <w:rFonts w:ascii="仿宋_GB2312" w:eastAsia="仿宋_GB2312"/>
          <w:noProof/>
          <w:sz w:val="30"/>
          <w:szCs w:val="30"/>
        </w:rPr>
      </w:pPr>
      <w:r w:rsidRPr="009D0581">
        <w:rPr>
          <w:rFonts w:ascii="仿宋_GB2312" w:eastAsia="仿宋_GB2312"/>
          <w:noProof/>
          <w:sz w:val="30"/>
          <w:szCs w:val="30"/>
        </w:rPr>
        <w:t>——</w:t>
      </w:r>
      <w:r w:rsidRPr="009D0581">
        <w:rPr>
          <w:rFonts w:ascii="仿宋_GB2312" w:eastAsia="仿宋_GB2312" w:hint="eastAsia"/>
          <w:noProof/>
          <w:sz w:val="30"/>
          <w:szCs w:val="30"/>
        </w:rPr>
        <w:t>苏州蜗牛数字科技股份有限公司诉成都天象互动科技有限公司、北京爱奇艺科技有限公司著作权侵权纠纷案</w:t>
      </w:r>
      <w:r w:rsidRPr="009D0581">
        <w:rPr>
          <w:rFonts w:ascii="仿宋_GB2312" w:eastAsia="仿宋_GB2312"/>
          <w:noProof/>
          <w:sz w:val="30"/>
          <w:szCs w:val="30"/>
        </w:rPr>
        <w:tab/>
      </w:r>
      <w:r w:rsidR="008906E9" w:rsidRPr="009D0581">
        <w:rPr>
          <w:rFonts w:ascii="仿宋_GB2312" w:eastAsia="仿宋_GB2312"/>
          <w:noProof/>
          <w:sz w:val="30"/>
          <w:szCs w:val="30"/>
        </w:rPr>
        <w:fldChar w:fldCharType="begin"/>
      </w:r>
      <w:r w:rsidRPr="009D0581">
        <w:rPr>
          <w:rFonts w:ascii="仿宋_GB2312" w:eastAsia="仿宋_GB2312"/>
          <w:noProof/>
          <w:sz w:val="30"/>
          <w:szCs w:val="30"/>
        </w:rPr>
        <w:instrText xml:space="preserve"> PAGEREF _Toc38029044 \h </w:instrText>
      </w:r>
      <w:r w:rsidR="008906E9" w:rsidRPr="009D0581">
        <w:rPr>
          <w:rFonts w:ascii="仿宋_GB2312" w:eastAsia="仿宋_GB2312"/>
          <w:noProof/>
          <w:sz w:val="30"/>
          <w:szCs w:val="30"/>
        </w:rPr>
      </w:r>
      <w:r w:rsidR="008906E9" w:rsidRPr="009D0581">
        <w:rPr>
          <w:rFonts w:ascii="仿宋_GB2312" w:eastAsia="仿宋_GB2312"/>
          <w:noProof/>
          <w:sz w:val="30"/>
          <w:szCs w:val="30"/>
        </w:rPr>
        <w:fldChar w:fldCharType="separate"/>
      </w:r>
      <w:r w:rsidR="008335A8">
        <w:rPr>
          <w:rFonts w:ascii="仿宋_GB2312" w:eastAsia="仿宋_GB2312"/>
          <w:noProof/>
          <w:sz w:val="30"/>
          <w:szCs w:val="30"/>
        </w:rPr>
        <w:t>3</w:t>
      </w:r>
      <w:r w:rsidR="008906E9" w:rsidRPr="009D0581">
        <w:rPr>
          <w:rFonts w:ascii="仿宋_GB2312" w:eastAsia="仿宋_GB2312"/>
          <w:noProof/>
          <w:sz w:val="30"/>
          <w:szCs w:val="30"/>
        </w:rPr>
        <w:fldChar w:fldCharType="end"/>
      </w:r>
    </w:p>
    <w:p w:rsidR="00D906DC" w:rsidRPr="009D0581" w:rsidRDefault="00D906DC" w:rsidP="00E711DA">
      <w:pPr>
        <w:pStyle w:val="10"/>
        <w:rPr>
          <w:rFonts w:hAnsi="Calibri"/>
        </w:rPr>
      </w:pPr>
      <w:r w:rsidRPr="009D0581">
        <w:t>2.</w:t>
      </w:r>
      <w:r w:rsidRPr="009D0581">
        <w:rPr>
          <w:rFonts w:hint="eastAsia"/>
        </w:rPr>
        <w:t>未经许可依画制作苏绣的著作权侵权认定案</w:t>
      </w:r>
    </w:p>
    <w:p w:rsidR="00D906DC" w:rsidRPr="009D0581" w:rsidRDefault="00D906DC" w:rsidP="005F3E79">
      <w:pPr>
        <w:pStyle w:val="21"/>
        <w:tabs>
          <w:tab w:val="right" w:leader="dot" w:pos="9060"/>
        </w:tabs>
        <w:adjustRightInd w:val="0"/>
        <w:snapToGrid w:val="0"/>
        <w:spacing w:line="520" w:lineRule="exact"/>
        <w:rPr>
          <w:rFonts w:ascii="仿宋_GB2312" w:eastAsia="仿宋_GB2312"/>
          <w:noProof/>
          <w:sz w:val="30"/>
          <w:szCs w:val="30"/>
        </w:rPr>
      </w:pPr>
      <w:r w:rsidRPr="009D0581">
        <w:rPr>
          <w:rFonts w:ascii="仿宋_GB2312" w:eastAsia="仿宋_GB2312"/>
          <w:noProof/>
          <w:sz w:val="30"/>
          <w:szCs w:val="30"/>
        </w:rPr>
        <w:t>——</w:t>
      </w:r>
      <w:r w:rsidRPr="009D0581">
        <w:rPr>
          <w:rFonts w:ascii="仿宋_GB2312" w:eastAsia="仿宋_GB2312" w:hint="eastAsia"/>
          <w:noProof/>
          <w:sz w:val="30"/>
          <w:szCs w:val="30"/>
        </w:rPr>
        <w:t>曹新华诉濮凤娟著作权侵权纠纷案</w:t>
      </w:r>
      <w:r w:rsidRPr="009D0581">
        <w:rPr>
          <w:rFonts w:ascii="仿宋_GB2312" w:eastAsia="仿宋_GB2312"/>
          <w:noProof/>
          <w:sz w:val="30"/>
          <w:szCs w:val="30"/>
        </w:rPr>
        <w:tab/>
      </w:r>
      <w:r w:rsidR="008906E9" w:rsidRPr="009D0581">
        <w:rPr>
          <w:rFonts w:ascii="仿宋_GB2312" w:eastAsia="仿宋_GB2312"/>
          <w:noProof/>
          <w:sz w:val="30"/>
          <w:szCs w:val="30"/>
        </w:rPr>
        <w:fldChar w:fldCharType="begin"/>
      </w:r>
      <w:r w:rsidRPr="009D0581">
        <w:rPr>
          <w:rFonts w:ascii="仿宋_GB2312" w:eastAsia="仿宋_GB2312"/>
          <w:noProof/>
          <w:sz w:val="30"/>
          <w:szCs w:val="30"/>
        </w:rPr>
        <w:instrText xml:space="preserve"> PAGEREF _Toc38029046 \h </w:instrText>
      </w:r>
      <w:r w:rsidR="008906E9" w:rsidRPr="009D0581">
        <w:rPr>
          <w:rFonts w:ascii="仿宋_GB2312" w:eastAsia="仿宋_GB2312"/>
          <w:noProof/>
          <w:sz w:val="30"/>
          <w:szCs w:val="30"/>
        </w:rPr>
      </w:r>
      <w:r w:rsidR="008906E9" w:rsidRPr="009D0581">
        <w:rPr>
          <w:rFonts w:ascii="仿宋_GB2312" w:eastAsia="仿宋_GB2312"/>
          <w:noProof/>
          <w:sz w:val="30"/>
          <w:szCs w:val="30"/>
        </w:rPr>
        <w:fldChar w:fldCharType="separate"/>
      </w:r>
      <w:r w:rsidR="008335A8">
        <w:rPr>
          <w:rFonts w:ascii="仿宋_GB2312" w:eastAsia="仿宋_GB2312"/>
          <w:noProof/>
          <w:sz w:val="30"/>
          <w:szCs w:val="30"/>
        </w:rPr>
        <w:t>17</w:t>
      </w:r>
      <w:r w:rsidR="008906E9" w:rsidRPr="009D0581">
        <w:rPr>
          <w:rFonts w:ascii="仿宋_GB2312" w:eastAsia="仿宋_GB2312"/>
          <w:noProof/>
          <w:sz w:val="30"/>
          <w:szCs w:val="30"/>
        </w:rPr>
        <w:fldChar w:fldCharType="end"/>
      </w:r>
    </w:p>
    <w:p w:rsidR="00D906DC" w:rsidRPr="009D0581" w:rsidRDefault="00D906DC" w:rsidP="00E711DA">
      <w:pPr>
        <w:pStyle w:val="10"/>
        <w:rPr>
          <w:rFonts w:hAnsi="Calibri"/>
        </w:rPr>
      </w:pPr>
      <w:r w:rsidRPr="009D0581">
        <w:t>3.</w:t>
      </w:r>
      <w:r w:rsidRPr="009D0581">
        <w:rPr>
          <w:rFonts w:hint="eastAsia"/>
        </w:rPr>
        <w:t>涉百度网盘侵害作品信息网络传播权认定案</w:t>
      </w:r>
    </w:p>
    <w:p w:rsidR="00D906DC" w:rsidRPr="009D0581" w:rsidRDefault="00D906DC" w:rsidP="005F3E79">
      <w:pPr>
        <w:pStyle w:val="21"/>
        <w:tabs>
          <w:tab w:val="right" w:leader="dot" w:pos="9060"/>
        </w:tabs>
        <w:adjustRightInd w:val="0"/>
        <w:snapToGrid w:val="0"/>
        <w:spacing w:line="520" w:lineRule="exact"/>
        <w:rPr>
          <w:rFonts w:ascii="仿宋_GB2312" w:eastAsia="仿宋_GB2312"/>
          <w:noProof/>
          <w:sz w:val="30"/>
          <w:szCs w:val="30"/>
        </w:rPr>
      </w:pPr>
      <w:r w:rsidRPr="009D0581">
        <w:rPr>
          <w:rFonts w:ascii="仿宋_GB2312" w:eastAsia="仿宋_GB2312"/>
          <w:noProof/>
          <w:sz w:val="30"/>
          <w:szCs w:val="30"/>
        </w:rPr>
        <w:t>——</w:t>
      </w:r>
      <w:r w:rsidRPr="009D0581">
        <w:rPr>
          <w:rFonts w:ascii="仿宋_GB2312" w:eastAsia="仿宋_GB2312" w:hint="eastAsia"/>
          <w:noProof/>
          <w:sz w:val="30"/>
          <w:szCs w:val="30"/>
        </w:rPr>
        <w:t>北京焦点互动信息服务有限公司南京分公司诉北京百度网讯科技有限公司侵害信息网络传播权纠纷案</w:t>
      </w:r>
      <w:r w:rsidRPr="009D0581">
        <w:rPr>
          <w:rFonts w:ascii="仿宋_GB2312" w:eastAsia="仿宋_GB2312"/>
          <w:noProof/>
          <w:sz w:val="30"/>
          <w:szCs w:val="30"/>
        </w:rPr>
        <w:tab/>
      </w:r>
      <w:r w:rsidR="008906E9" w:rsidRPr="009D0581">
        <w:rPr>
          <w:rFonts w:ascii="仿宋_GB2312" w:eastAsia="仿宋_GB2312"/>
          <w:noProof/>
          <w:sz w:val="30"/>
          <w:szCs w:val="30"/>
        </w:rPr>
        <w:fldChar w:fldCharType="begin"/>
      </w:r>
      <w:r w:rsidRPr="009D0581">
        <w:rPr>
          <w:rFonts w:ascii="仿宋_GB2312" w:eastAsia="仿宋_GB2312"/>
          <w:noProof/>
          <w:sz w:val="30"/>
          <w:szCs w:val="30"/>
        </w:rPr>
        <w:instrText xml:space="preserve"> PAGEREF _Toc38029048 \h </w:instrText>
      </w:r>
      <w:r w:rsidR="008906E9" w:rsidRPr="009D0581">
        <w:rPr>
          <w:rFonts w:ascii="仿宋_GB2312" w:eastAsia="仿宋_GB2312"/>
          <w:noProof/>
          <w:sz w:val="30"/>
          <w:szCs w:val="30"/>
        </w:rPr>
      </w:r>
      <w:r w:rsidR="008906E9" w:rsidRPr="009D0581">
        <w:rPr>
          <w:rFonts w:ascii="仿宋_GB2312" w:eastAsia="仿宋_GB2312"/>
          <w:noProof/>
          <w:sz w:val="30"/>
          <w:szCs w:val="30"/>
        </w:rPr>
        <w:fldChar w:fldCharType="separate"/>
      </w:r>
      <w:r w:rsidR="008335A8">
        <w:rPr>
          <w:rFonts w:ascii="仿宋_GB2312" w:eastAsia="仿宋_GB2312"/>
          <w:noProof/>
          <w:sz w:val="30"/>
          <w:szCs w:val="30"/>
        </w:rPr>
        <w:t>25</w:t>
      </w:r>
      <w:r w:rsidR="008906E9" w:rsidRPr="009D0581">
        <w:rPr>
          <w:rFonts w:ascii="仿宋_GB2312" w:eastAsia="仿宋_GB2312"/>
          <w:noProof/>
          <w:sz w:val="30"/>
          <w:szCs w:val="30"/>
        </w:rPr>
        <w:fldChar w:fldCharType="end"/>
      </w:r>
    </w:p>
    <w:p w:rsidR="00D906DC" w:rsidRPr="009D0581" w:rsidRDefault="00D906DC" w:rsidP="00E711DA">
      <w:pPr>
        <w:pStyle w:val="10"/>
        <w:rPr>
          <w:rFonts w:hAnsi="Calibri"/>
        </w:rPr>
      </w:pPr>
      <w:r w:rsidRPr="009D0581">
        <w:t>4.</w:t>
      </w:r>
      <w:r w:rsidRPr="009D0581">
        <w:rPr>
          <w:rFonts w:hint="eastAsia"/>
        </w:rPr>
        <w:t>新商标法修订后国内判赔数额最高的适用惩罚性赔偿制度保护“小米”驰名商标案</w:t>
      </w:r>
    </w:p>
    <w:p w:rsidR="00D906DC" w:rsidRPr="009D0581" w:rsidRDefault="00D906DC" w:rsidP="005F3E79">
      <w:pPr>
        <w:pStyle w:val="21"/>
        <w:tabs>
          <w:tab w:val="right" w:leader="dot" w:pos="9060"/>
        </w:tabs>
        <w:adjustRightInd w:val="0"/>
        <w:snapToGrid w:val="0"/>
        <w:spacing w:line="520" w:lineRule="exact"/>
        <w:rPr>
          <w:rFonts w:ascii="仿宋_GB2312" w:eastAsia="仿宋_GB2312"/>
          <w:noProof/>
          <w:sz w:val="30"/>
          <w:szCs w:val="30"/>
        </w:rPr>
      </w:pPr>
      <w:r w:rsidRPr="009D0581">
        <w:rPr>
          <w:rFonts w:ascii="仿宋_GB2312" w:eastAsia="仿宋_GB2312" w:cs="仿宋_GB2312"/>
          <w:noProof/>
          <w:sz w:val="30"/>
          <w:szCs w:val="30"/>
        </w:rPr>
        <w:t>——</w:t>
      </w:r>
      <w:r w:rsidRPr="009D0581">
        <w:rPr>
          <w:rFonts w:ascii="仿宋_GB2312" w:eastAsia="仿宋_GB2312" w:hint="eastAsia"/>
          <w:noProof/>
          <w:sz w:val="30"/>
          <w:szCs w:val="30"/>
        </w:rPr>
        <w:t>小米科技有限责任公司等诉中山奔腾电器有限公司等商标侵权及不正当竞争纠纷案</w:t>
      </w:r>
      <w:r w:rsidRPr="009D0581">
        <w:rPr>
          <w:rFonts w:ascii="仿宋_GB2312" w:eastAsia="仿宋_GB2312"/>
          <w:noProof/>
          <w:sz w:val="30"/>
          <w:szCs w:val="30"/>
        </w:rPr>
        <w:tab/>
      </w:r>
      <w:r w:rsidR="008906E9" w:rsidRPr="009D0581">
        <w:rPr>
          <w:rFonts w:ascii="仿宋_GB2312" w:eastAsia="仿宋_GB2312"/>
          <w:noProof/>
          <w:sz w:val="30"/>
          <w:szCs w:val="30"/>
        </w:rPr>
        <w:fldChar w:fldCharType="begin"/>
      </w:r>
      <w:r w:rsidRPr="009D0581">
        <w:rPr>
          <w:rFonts w:ascii="仿宋_GB2312" w:eastAsia="仿宋_GB2312"/>
          <w:noProof/>
          <w:sz w:val="30"/>
          <w:szCs w:val="30"/>
        </w:rPr>
        <w:instrText xml:space="preserve"> PAGEREF _Toc38029050 \h </w:instrText>
      </w:r>
      <w:r w:rsidR="008906E9" w:rsidRPr="009D0581">
        <w:rPr>
          <w:rFonts w:ascii="仿宋_GB2312" w:eastAsia="仿宋_GB2312"/>
          <w:noProof/>
          <w:sz w:val="30"/>
          <w:szCs w:val="30"/>
        </w:rPr>
      </w:r>
      <w:r w:rsidR="008906E9" w:rsidRPr="009D0581">
        <w:rPr>
          <w:rFonts w:ascii="仿宋_GB2312" w:eastAsia="仿宋_GB2312"/>
          <w:noProof/>
          <w:sz w:val="30"/>
          <w:szCs w:val="30"/>
        </w:rPr>
        <w:fldChar w:fldCharType="separate"/>
      </w:r>
      <w:r w:rsidR="008335A8">
        <w:rPr>
          <w:rFonts w:ascii="仿宋_GB2312" w:eastAsia="仿宋_GB2312"/>
          <w:noProof/>
          <w:sz w:val="30"/>
          <w:szCs w:val="30"/>
        </w:rPr>
        <w:t>34</w:t>
      </w:r>
      <w:r w:rsidR="008906E9" w:rsidRPr="009D0581">
        <w:rPr>
          <w:rFonts w:ascii="仿宋_GB2312" w:eastAsia="仿宋_GB2312"/>
          <w:noProof/>
          <w:sz w:val="30"/>
          <w:szCs w:val="30"/>
        </w:rPr>
        <w:fldChar w:fldCharType="end"/>
      </w:r>
    </w:p>
    <w:p w:rsidR="00D906DC" w:rsidRPr="009D0581" w:rsidRDefault="00D906DC" w:rsidP="00E711DA">
      <w:pPr>
        <w:pStyle w:val="10"/>
        <w:rPr>
          <w:rFonts w:hAnsi="Calibri"/>
        </w:rPr>
      </w:pPr>
      <w:r w:rsidRPr="009D0581">
        <w:t>5.</w:t>
      </w:r>
      <w:r w:rsidRPr="009D0581">
        <w:rPr>
          <w:rFonts w:hint="eastAsia"/>
        </w:rPr>
        <w:t>因恶意申请注册使用商标适用惩罚性赔偿案</w:t>
      </w:r>
    </w:p>
    <w:p w:rsidR="00D906DC" w:rsidRPr="009D0581" w:rsidRDefault="00D906DC" w:rsidP="005F3E79">
      <w:pPr>
        <w:pStyle w:val="21"/>
        <w:tabs>
          <w:tab w:val="right" w:leader="dot" w:pos="9060"/>
        </w:tabs>
        <w:adjustRightInd w:val="0"/>
        <w:snapToGrid w:val="0"/>
        <w:spacing w:line="520" w:lineRule="exact"/>
        <w:rPr>
          <w:rFonts w:ascii="仿宋_GB2312" w:eastAsia="仿宋_GB2312"/>
          <w:noProof/>
          <w:sz w:val="30"/>
          <w:szCs w:val="30"/>
        </w:rPr>
      </w:pPr>
      <w:r w:rsidRPr="009D0581">
        <w:rPr>
          <w:rFonts w:ascii="仿宋_GB2312" w:eastAsia="仿宋_GB2312" w:cs="仿宋_GB2312"/>
          <w:noProof/>
          <w:sz w:val="30"/>
          <w:szCs w:val="30"/>
        </w:rPr>
        <w:t>——</w:t>
      </w:r>
      <w:r w:rsidRPr="009D0581">
        <w:rPr>
          <w:rFonts w:ascii="仿宋_GB2312" w:eastAsia="仿宋_GB2312" w:hint="eastAsia"/>
          <w:noProof/>
          <w:sz w:val="30"/>
          <w:szCs w:val="30"/>
        </w:rPr>
        <w:t>株式会社普利司通诉梁山水浒轮胎公司等商标侵权纠纷案</w:t>
      </w:r>
      <w:r w:rsidRPr="009D0581">
        <w:rPr>
          <w:rFonts w:ascii="仿宋_GB2312" w:eastAsia="仿宋_GB2312"/>
          <w:noProof/>
          <w:sz w:val="30"/>
          <w:szCs w:val="30"/>
        </w:rPr>
        <w:tab/>
      </w:r>
      <w:r w:rsidR="008906E9" w:rsidRPr="009D0581">
        <w:rPr>
          <w:rFonts w:ascii="仿宋_GB2312" w:eastAsia="仿宋_GB2312"/>
          <w:noProof/>
          <w:sz w:val="30"/>
          <w:szCs w:val="30"/>
        </w:rPr>
        <w:fldChar w:fldCharType="begin"/>
      </w:r>
      <w:r w:rsidRPr="009D0581">
        <w:rPr>
          <w:rFonts w:ascii="仿宋_GB2312" w:eastAsia="仿宋_GB2312"/>
          <w:noProof/>
          <w:sz w:val="30"/>
          <w:szCs w:val="30"/>
        </w:rPr>
        <w:instrText xml:space="preserve"> PAGEREF _Toc38029052 \h </w:instrText>
      </w:r>
      <w:r w:rsidR="008906E9" w:rsidRPr="009D0581">
        <w:rPr>
          <w:rFonts w:ascii="仿宋_GB2312" w:eastAsia="仿宋_GB2312"/>
          <w:noProof/>
          <w:sz w:val="30"/>
          <w:szCs w:val="30"/>
        </w:rPr>
      </w:r>
      <w:r w:rsidR="008906E9" w:rsidRPr="009D0581">
        <w:rPr>
          <w:rFonts w:ascii="仿宋_GB2312" w:eastAsia="仿宋_GB2312"/>
          <w:noProof/>
          <w:sz w:val="30"/>
          <w:szCs w:val="30"/>
        </w:rPr>
        <w:fldChar w:fldCharType="separate"/>
      </w:r>
      <w:r w:rsidR="008335A8">
        <w:rPr>
          <w:rFonts w:ascii="仿宋_GB2312" w:eastAsia="仿宋_GB2312"/>
          <w:noProof/>
          <w:sz w:val="30"/>
          <w:szCs w:val="30"/>
        </w:rPr>
        <w:t>44</w:t>
      </w:r>
      <w:r w:rsidR="008906E9" w:rsidRPr="009D0581">
        <w:rPr>
          <w:rFonts w:ascii="仿宋_GB2312" w:eastAsia="仿宋_GB2312"/>
          <w:noProof/>
          <w:sz w:val="30"/>
          <w:szCs w:val="30"/>
        </w:rPr>
        <w:fldChar w:fldCharType="end"/>
      </w:r>
    </w:p>
    <w:p w:rsidR="00D906DC" w:rsidRPr="009D0581" w:rsidRDefault="00D906DC" w:rsidP="00E711DA">
      <w:pPr>
        <w:pStyle w:val="10"/>
        <w:rPr>
          <w:rFonts w:hAnsi="Calibri"/>
        </w:rPr>
      </w:pPr>
      <w:r w:rsidRPr="009D0581">
        <w:t>6.</w:t>
      </w:r>
      <w:r w:rsidRPr="009D0581">
        <w:rPr>
          <w:rFonts w:hint="eastAsia"/>
        </w:rPr>
        <w:t>涉“鬼吹灯”知名商品特有名称认定及权益归属的不正当竞争案</w:t>
      </w:r>
    </w:p>
    <w:p w:rsidR="00D906DC" w:rsidRPr="009D0581" w:rsidRDefault="00D906DC" w:rsidP="005F3E79">
      <w:pPr>
        <w:pStyle w:val="21"/>
        <w:tabs>
          <w:tab w:val="right" w:leader="dot" w:pos="9060"/>
        </w:tabs>
        <w:adjustRightInd w:val="0"/>
        <w:snapToGrid w:val="0"/>
        <w:spacing w:line="520" w:lineRule="exact"/>
        <w:rPr>
          <w:rFonts w:ascii="仿宋_GB2312" w:eastAsia="仿宋_GB2312"/>
          <w:noProof/>
          <w:sz w:val="30"/>
          <w:szCs w:val="30"/>
        </w:rPr>
      </w:pPr>
      <w:r w:rsidRPr="009D0581">
        <w:rPr>
          <w:rFonts w:ascii="仿宋_GB2312" w:eastAsia="仿宋_GB2312"/>
          <w:noProof/>
          <w:sz w:val="30"/>
          <w:szCs w:val="30"/>
        </w:rPr>
        <w:t>——</w:t>
      </w:r>
      <w:r w:rsidRPr="009D0581">
        <w:rPr>
          <w:rFonts w:ascii="仿宋_GB2312" w:eastAsia="仿宋_GB2312" w:hint="eastAsia"/>
          <w:noProof/>
          <w:sz w:val="30"/>
          <w:szCs w:val="30"/>
        </w:rPr>
        <w:t>上海玄霆娱乐信息科技有限公司徐州分公司诉张牧野等不正当竞争纠纷案</w:t>
      </w:r>
      <w:r w:rsidRPr="009D0581">
        <w:rPr>
          <w:rFonts w:ascii="仿宋_GB2312" w:eastAsia="仿宋_GB2312"/>
          <w:noProof/>
          <w:sz w:val="30"/>
          <w:szCs w:val="30"/>
        </w:rPr>
        <w:tab/>
      </w:r>
      <w:r w:rsidR="008906E9" w:rsidRPr="009D0581">
        <w:rPr>
          <w:rFonts w:ascii="仿宋_GB2312" w:eastAsia="仿宋_GB2312"/>
          <w:noProof/>
          <w:sz w:val="30"/>
          <w:szCs w:val="30"/>
        </w:rPr>
        <w:fldChar w:fldCharType="begin"/>
      </w:r>
      <w:r w:rsidRPr="009D0581">
        <w:rPr>
          <w:rFonts w:ascii="仿宋_GB2312" w:eastAsia="仿宋_GB2312"/>
          <w:noProof/>
          <w:sz w:val="30"/>
          <w:szCs w:val="30"/>
        </w:rPr>
        <w:instrText xml:space="preserve"> PAGEREF _Toc38029054 \h </w:instrText>
      </w:r>
      <w:r w:rsidR="008906E9" w:rsidRPr="009D0581">
        <w:rPr>
          <w:rFonts w:ascii="仿宋_GB2312" w:eastAsia="仿宋_GB2312"/>
          <w:noProof/>
          <w:sz w:val="30"/>
          <w:szCs w:val="30"/>
        </w:rPr>
      </w:r>
      <w:r w:rsidR="008906E9" w:rsidRPr="009D0581">
        <w:rPr>
          <w:rFonts w:ascii="仿宋_GB2312" w:eastAsia="仿宋_GB2312"/>
          <w:noProof/>
          <w:sz w:val="30"/>
          <w:szCs w:val="30"/>
        </w:rPr>
        <w:fldChar w:fldCharType="separate"/>
      </w:r>
      <w:r w:rsidR="008335A8">
        <w:rPr>
          <w:rFonts w:ascii="仿宋_GB2312" w:eastAsia="仿宋_GB2312"/>
          <w:noProof/>
          <w:sz w:val="30"/>
          <w:szCs w:val="30"/>
        </w:rPr>
        <w:t>51</w:t>
      </w:r>
      <w:r w:rsidR="008906E9" w:rsidRPr="009D0581">
        <w:rPr>
          <w:rFonts w:ascii="仿宋_GB2312" w:eastAsia="仿宋_GB2312"/>
          <w:noProof/>
          <w:sz w:val="30"/>
          <w:szCs w:val="30"/>
        </w:rPr>
        <w:fldChar w:fldCharType="end"/>
      </w:r>
    </w:p>
    <w:p w:rsidR="00D906DC" w:rsidRPr="009D0581" w:rsidRDefault="00D906DC" w:rsidP="00E711DA">
      <w:pPr>
        <w:pStyle w:val="10"/>
        <w:rPr>
          <w:rFonts w:hAnsi="Calibri"/>
        </w:rPr>
      </w:pPr>
      <w:r w:rsidRPr="009D0581">
        <w:t>7.</w:t>
      </w:r>
      <w:r w:rsidRPr="009D0581">
        <w:rPr>
          <w:rFonts w:hint="eastAsia"/>
        </w:rPr>
        <w:t>基于恶意投诉申请先予恢复被删除网络销售链接案</w:t>
      </w:r>
    </w:p>
    <w:p w:rsidR="00D906DC" w:rsidRPr="009D0581" w:rsidRDefault="00D906DC" w:rsidP="005F3E79">
      <w:pPr>
        <w:pStyle w:val="21"/>
        <w:tabs>
          <w:tab w:val="right" w:leader="dot" w:pos="9060"/>
        </w:tabs>
        <w:adjustRightInd w:val="0"/>
        <w:snapToGrid w:val="0"/>
        <w:spacing w:line="520" w:lineRule="exact"/>
        <w:rPr>
          <w:rFonts w:ascii="仿宋_GB2312" w:eastAsia="仿宋_GB2312"/>
          <w:noProof/>
          <w:sz w:val="30"/>
          <w:szCs w:val="30"/>
        </w:rPr>
      </w:pPr>
      <w:r w:rsidRPr="009D0581">
        <w:rPr>
          <w:rFonts w:ascii="仿宋_GB2312" w:eastAsia="仿宋_GB2312"/>
          <w:noProof/>
          <w:sz w:val="30"/>
          <w:szCs w:val="30"/>
        </w:rPr>
        <w:t>——</w:t>
      </w:r>
      <w:r w:rsidRPr="009D0581">
        <w:rPr>
          <w:rFonts w:ascii="仿宋_GB2312" w:eastAsia="仿宋_GB2312" w:hint="eastAsia"/>
          <w:noProof/>
          <w:sz w:val="30"/>
          <w:szCs w:val="30"/>
        </w:rPr>
        <w:t>郑州曳头网络科技有限公司与丁晓梅、浙江天猫网络有限公司等侵害外观设计专利权先予执行案</w:t>
      </w:r>
      <w:r w:rsidRPr="009D0581">
        <w:rPr>
          <w:rFonts w:ascii="仿宋_GB2312" w:eastAsia="仿宋_GB2312"/>
          <w:noProof/>
          <w:sz w:val="30"/>
          <w:szCs w:val="30"/>
        </w:rPr>
        <w:tab/>
      </w:r>
      <w:r w:rsidR="008906E9" w:rsidRPr="009D0581">
        <w:rPr>
          <w:rFonts w:ascii="仿宋_GB2312" w:eastAsia="仿宋_GB2312"/>
          <w:noProof/>
          <w:sz w:val="30"/>
          <w:szCs w:val="30"/>
        </w:rPr>
        <w:fldChar w:fldCharType="begin"/>
      </w:r>
      <w:r w:rsidRPr="009D0581">
        <w:rPr>
          <w:rFonts w:ascii="仿宋_GB2312" w:eastAsia="仿宋_GB2312"/>
          <w:noProof/>
          <w:sz w:val="30"/>
          <w:szCs w:val="30"/>
        </w:rPr>
        <w:instrText xml:space="preserve"> PAGEREF _Toc38029056 \h </w:instrText>
      </w:r>
      <w:r w:rsidR="008906E9" w:rsidRPr="009D0581">
        <w:rPr>
          <w:rFonts w:ascii="仿宋_GB2312" w:eastAsia="仿宋_GB2312"/>
          <w:noProof/>
          <w:sz w:val="30"/>
          <w:szCs w:val="30"/>
        </w:rPr>
      </w:r>
      <w:r w:rsidR="008906E9" w:rsidRPr="009D0581">
        <w:rPr>
          <w:rFonts w:ascii="仿宋_GB2312" w:eastAsia="仿宋_GB2312"/>
          <w:noProof/>
          <w:sz w:val="30"/>
          <w:szCs w:val="30"/>
        </w:rPr>
        <w:fldChar w:fldCharType="separate"/>
      </w:r>
      <w:r w:rsidR="008335A8">
        <w:rPr>
          <w:rFonts w:ascii="仿宋_GB2312" w:eastAsia="仿宋_GB2312"/>
          <w:noProof/>
          <w:sz w:val="30"/>
          <w:szCs w:val="30"/>
        </w:rPr>
        <w:t>61</w:t>
      </w:r>
      <w:r w:rsidR="008906E9" w:rsidRPr="009D0581">
        <w:rPr>
          <w:rFonts w:ascii="仿宋_GB2312" w:eastAsia="仿宋_GB2312"/>
          <w:noProof/>
          <w:sz w:val="30"/>
          <w:szCs w:val="30"/>
        </w:rPr>
        <w:fldChar w:fldCharType="end"/>
      </w:r>
    </w:p>
    <w:p w:rsidR="00D906DC" w:rsidRPr="009D0581" w:rsidRDefault="00D906DC" w:rsidP="00E711DA">
      <w:pPr>
        <w:pStyle w:val="10"/>
        <w:rPr>
          <w:rFonts w:hAnsi="Calibri"/>
        </w:rPr>
      </w:pPr>
      <w:r w:rsidRPr="009D0581">
        <w:lastRenderedPageBreak/>
        <w:t>8.</w:t>
      </w:r>
      <w:r w:rsidRPr="009D0581">
        <w:rPr>
          <w:rFonts w:hint="eastAsia"/>
        </w:rPr>
        <w:t>明知无正当权利基础仍起诉他人的恶意提起知识产权诉讼案</w:t>
      </w:r>
    </w:p>
    <w:p w:rsidR="00D906DC" w:rsidRPr="009D0581" w:rsidRDefault="00D906DC" w:rsidP="005F3E79">
      <w:pPr>
        <w:pStyle w:val="21"/>
        <w:tabs>
          <w:tab w:val="right" w:leader="dot" w:pos="9060"/>
        </w:tabs>
        <w:adjustRightInd w:val="0"/>
        <w:snapToGrid w:val="0"/>
        <w:spacing w:line="520" w:lineRule="exact"/>
        <w:rPr>
          <w:rFonts w:ascii="仿宋_GB2312" w:eastAsia="仿宋_GB2312"/>
          <w:noProof/>
          <w:sz w:val="30"/>
          <w:szCs w:val="30"/>
        </w:rPr>
      </w:pPr>
      <w:r w:rsidRPr="009D0581">
        <w:rPr>
          <w:rFonts w:ascii="仿宋_GB2312" w:eastAsia="仿宋_GB2312"/>
          <w:noProof/>
          <w:sz w:val="30"/>
          <w:szCs w:val="30"/>
        </w:rPr>
        <w:t>——</w:t>
      </w:r>
      <w:r w:rsidRPr="009D0581">
        <w:rPr>
          <w:rFonts w:ascii="仿宋_GB2312" w:eastAsia="仿宋_GB2312" w:hint="eastAsia"/>
          <w:noProof/>
          <w:sz w:val="30"/>
          <w:szCs w:val="30"/>
        </w:rPr>
        <w:t>宿迁市洋河镇天下秀酒业有限公司诉宿迁市洋河镇御缘酿酒厂恶意提起知识产权损害责任纠纷案</w:t>
      </w:r>
      <w:r w:rsidRPr="009D0581">
        <w:rPr>
          <w:rFonts w:ascii="仿宋_GB2312" w:eastAsia="仿宋_GB2312"/>
          <w:noProof/>
          <w:sz w:val="30"/>
          <w:szCs w:val="30"/>
        </w:rPr>
        <w:tab/>
      </w:r>
      <w:r w:rsidR="008906E9" w:rsidRPr="009D0581">
        <w:rPr>
          <w:rFonts w:ascii="仿宋_GB2312" w:eastAsia="仿宋_GB2312"/>
          <w:noProof/>
          <w:sz w:val="30"/>
          <w:szCs w:val="30"/>
        </w:rPr>
        <w:fldChar w:fldCharType="begin"/>
      </w:r>
      <w:r w:rsidRPr="009D0581">
        <w:rPr>
          <w:rFonts w:ascii="仿宋_GB2312" w:eastAsia="仿宋_GB2312"/>
          <w:noProof/>
          <w:sz w:val="30"/>
          <w:szCs w:val="30"/>
        </w:rPr>
        <w:instrText xml:space="preserve"> PAGEREF _Toc38029058 \h </w:instrText>
      </w:r>
      <w:r w:rsidR="008906E9" w:rsidRPr="009D0581">
        <w:rPr>
          <w:rFonts w:ascii="仿宋_GB2312" w:eastAsia="仿宋_GB2312"/>
          <w:noProof/>
          <w:sz w:val="30"/>
          <w:szCs w:val="30"/>
        </w:rPr>
      </w:r>
      <w:r w:rsidR="008906E9" w:rsidRPr="009D0581">
        <w:rPr>
          <w:rFonts w:ascii="仿宋_GB2312" w:eastAsia="仿宋_GB2312"/>
          <w:noProof/>
          <w:sz w:val="30"/>
          <w:szCs w:val="30"/>
        </w:rPr>
        <w:fldChar w:fldCharType="separate"/>
      </w:r>
      <w:r w:rsidR="008335A8">
        <w:rPr>
          <w:rFonts w:ascii="仿宋_GB2312" w:eastAsia="仿宋_GB2312"/>
          <w:noProof/>
          <w:sz w:val="30"/>
          <w:szCs w:val="30"/>
        </w:rPr>
        <w:t>66</w:t>
      </w:r>
      <w:r w:rsidR="008906E9" w:rsidRPr="009D0581">
        <w:rPr>
          <w:rFonts w:ascii="仿宋_GB2312" w:eastAsia="仿宋_GB2312"/>
          <w:noProof/>
          <w:sz w:val="30"/>
          <w:szCs w:val="30"/>
        </w:rPr>
        <w:fldChar w:fldCharType="end"/>
      </w:r>
    </w:p>
    <w:p w:rsidR="00D906DC" w:rsidRDefault="00D906DC" w:rsidP="00E711DA">
      <w:pPr>
        <w:pStyle w:val="10"/>
      </w:pPr>
    </w:p>
    <w:p w:rsidR="00D906DC" w:rsidRDefault="00D906DC" w:rsidP="00E711DA">
      <w:pPr>
        <w:pStyle w:val="10"/>
      </w:pPr>
      <w:r>
        <w:rPr>
          <w:rFonts w:ascii="方正小标宋简体" w:eastAsia="方正小标宋简体" w:hint="eastAsia"/>
        </w:rPr>
        <w:t>刑事</w:t>
      </w:r>
      <w:r w:rsidRPr="009D0581">
        <w:rPr>
          <w:rFonts w:ascii="方正小标宋简体" w:eastAsia="方正小标宋简体" w:hint="eastAsia"/>
        </w:rPr>
        <w:t>案件</w:t>
      </w:r>
    </w:p>
    <w:p w:rsidR="00D906DC" w:rsidRPr="009D0581" w:rsidRDefault="00D906DC" w:rsidP="00E711DA">
      <w:pPr>
        <w:pStyle w:val="10"/>
        <w:rPr>
          <w:rFonts w:hAnsi="Calibri"/>
        </w:rPr>
      </w:pPr>
      <w:r w:rsidRPr="009D0581">
        <w:t>9.</w:t>
      </w:r>
      <w:r w:rsidRPr="009D0581">
        <w:rPr>
          <w:rFonts w:hint="eastAsia"/>
        </w:rPr>
        <w:t>企业设计总监与经销商合谋共同犯假冒注册商标罪案</w:t>
      </w:r>
    </w:p>
    <w:p w:rsidR="00D906DC" w:rsidRPr="009D0581" w:rsidRDefault="00D906DC" w:rsidP="005F3E79">
      <w:pPr>
        <w:pStyle w:val="21"/>
        <w:tabs>
          <w:tab w:val="right" w:leader="dot" w:pos="9060"/>
        </w:tabs>
        <w:adjustRightInd w:val="0"/>
        <w:snapToGrid w:val="0"/>
        <w:spacing w:line="520" w:lineRule="exact"/>
        <w:rPr>
          <w:rFonts w:ascii="仿宋_GB2312" w:eastAsia="仿宋_GB2312"/>
          <w:noProof/>
          <w:sz w:val="30"/>
          <w:szCs w:val="30"/>
        </w:rPr>
      </w:pPr>
      <w:r w:rsidRPr="009D0581">
        <w:rPr>
          <w:rFonts w:ascii="仿宋_GB2312" w:eastAsia="仿宋_GB2312"/>
          <w:noProof/>
          <w:sz w:val="30"/>
          <w:szCs w:val="30"/>
        </w:rPr>
        <w:t>——</w:t>
      </w:r>
      <w:r w:rsidRPr="009D0581">
        <w:rPr>
          <w:rFonts w:ascii="仿宋_GB2312" w:eastAsia="仿宋_GB2312" w:hint="eastAsia"/>
          <w:noProof/>
          <w:sz w:val="30"/>
          <w:szCs w:val="30"/>
        </w:rPr>
        <w:t>被告人林某、沈某康、余某犯假冒注册商标罪，被告人沈某娟犯假冒注册商标罪、职务侵占罪案</w:t>
      </w:r>
      <w:r w:rsidRPr="009D0581">
        <w:rPr>
          <w:rFonts w:ascii="仿宋_GB2312" w:eastAsia="仿宋_GB2312"/>
          <w:noProof/>
          <w:sz w:val="30"/>
          <w:szCs w:val="30"/>
        </w:rPr>
        <w:tab/>
      </w:r>
      <w:r w:rsidR="008906E9" w:rsidRPr="009D0581">
        <w:rPr>
          <w:rFonts w:ascii="仿宋_GB2312" w:eastAsia="仿宋_GB2312"/>
          <w:noProof/>
          <w:sz w:val="30"/>
          <w:szCs w:val="30"/>
        </w:rPr>
        <w:fldChar w:fldCharType="begin"/>
      </w:r>
      <w:r w:rsidRPr="009D0581">
        <w:rPr>
          <w:rFonts w:ascii="仿宋_GB2312" w:eastAsia="仿宋_GB2312"/>
          <w:noProof/>
          <w:sz w:val="30"/>
          <w:szCs w:val="30"/>
        </w:rPr>
        <w:instrText xml:space="preserve"> PAGEREF _Toc38029060 \h </w:instrText>
      </w:r>
      <w:r w:rsidR="008906E9" w:rsidRPr="009D0581">
        <w:rPr>
          <w:rFonts w:ascii="仿宋_GB2312" w:eastAsia="仿宋_GB2312"/>
          <w:noProof/>
          <w:sz w:val="30"/>
          <w:szCs w:val="30"/>
        </w:rPr>
      </w:r>
      <w:r w:rsidR="008906E9" w:rsidRPr="009D0581">
        <w:rPr>
          <w:rFonts w:ascii="仿宋_GB2312" w:eastAsia="仿宋_GB2312"/>
          <w:noProof/>
          <w:sz w:val="30"/>
          <w:szCs w:val="30"/>
        </w:rPr>
        <w:fldChar w:fldCharType="separate"/>
      </w:r>
      <w:r w:rsidR="008335A8">
        <w:rPr>
          <w:rFonts w:ascii="仿宋_GB2312" w:eastAsia="仿宋_GB2312"/>
          <w:noProof/>
          <w:sz w:val="30"/>
          <w:szCs w:val="30"/>
        </w:rPr>
        <w:t>73</w:t>
      </w:r>
      <w:r w:rsidR="008906E9" w:rsidRPr="009D0581">
        <w:rPr>
          <w:rFonts w:ascii="仿宋_GB2312" w:eastAsia="仿宋_GB2312"/>
          <w:noProof/>
          <w:sz w:val="30"/>
          <w:szCs w:val="30"/>
        </w:rPr>
        <w:fldChar w:fldCharType="end"/>
      </w:r>
    </w:p>
    <w:p w:rsidR="00D906DC" w:rsidRPr="009D0581" w:rsidRDefault="00D906DC" w:rsidP="00E711DA">
      <w:pPr>
        <w:pStyle w:val="10"/>
        <w:rPr>
          <w:rFonts w:hAnsi="Calibri"/>
        </w:rPr>
      </w:pPr>
      <w:r w:rsidRPr="009D0581">
        <w:t>10.</w:t>
      </w:r>
      <w:r w:rsidRPr="009D0581">
        <w:rPr>
          <w:rFonts w:hint="eastAsia"/>
        </w:rPr>
        <w:t>特许经营的被特许人假冒特许人商标构成假冒注册商标罪案</w:t>
      </w:r>
    </w:p>
    <w:p w:rsidR="00D906DC" w:rsidRPr="009D0581" w:rsidRDefault="00D906DC" w:rsidP="005F3E79">
      <w:pPr>
        <w:pStyle w:val="21"/>
        <w:tabs>
          <w:tab w:val="right" w:leader="dot" w:pos="9060"/>
        </w:tabs>
        <w:adjustRightInd w:val="0"/>
        <w:snapToGrid w:val="0"/>
        <w:spacing w:line="520" w:lineRule="exact"/>
        <w:rPr>
          <w:rFonts w:ascii="仿宋_GB2312" w:eastAsia="仿宋_GB2312"/>
          <w:noProof/>
          <w:sz w:val="30"/>
          <w:szCs w:val="30"/>
        </w:rPr>
      </w:pPr>
      <w:r w:rsidRPr="009D0581">
        <w:rPr>
          <w:rFonts w:ascii="仿宋_GB2312" w:eastAsia="仿宋_GB2312" w:cs="仿宋_GB2312"/>
          <w:noProof/>
          <w:sz w:val="30"/>
          <w:szCs w:val="30"/>
        </w:rPr>
        <w:t>——</w:t>
      </w:r>
      <w:r w:rsidRPr="009D0581">
        <w:rPr>
          <w:rFonts w:ascii="仿宋_GB2312" w:eastAsia="仿宋_GB2312" w:hint="eastAsia"/>
          <w:noProof/>
          <w:sz w:val="30"/>
          <w:szCs w:val="30"/>
        </w:rPr>
        <w:t>被告人顾某某、张某、凌某某犯假冒注册商标罪案</w:t>
      </w:r>
      <w:r w:rsidRPr="009D0581">
        <w:rPr>
          <w:rFonts w:ascii="仿宋_GB2312" w:eastAsia="仿宋_GB2312"/>
          <w:noProof/>
          <w:sz w:val="30"/>
          <w:szCs w:val="30"/>
        </w:rPr>
        <w:tab/>
      </w:r>
      <w:r w:rsidR="008906E9" w:rsidRPr="009D0581">
        <w:rPr>
          <w:rFonts w:ascii="仿宋_GB2312" w:eastAsia="仿宋_GB2312"/>
          <w:noProof/>
          <w:sz w:val="30"/>
          <w:szCs w:val="30"/>
        </w:rPr>
        <w:fldChar w:fldCharType="begin"/>
      </w:r>
      <w:r w:rsidRPr="009D0581">
        <w:rPr>
          <w:rFonts w:ascii="仿宋_GB2312" w:eastAsia="仿宋_GB2312"/>
          <w:noProof/>
          <w:sz w:val="30"/>
          <w:szCs w:val="30"/>
        </w:rPr>
        <w:instrText xml:space="preserve"> PAGEREF _Toc38029062 \h </w:instrText>
      </w:r>
      <w:r w:rsidR="008906E9" w:rsidRPr="009D0581">
        <w:rPr>
          <w:rFonts w:ascii="仿宋_GB2312" w:eastAsia="仿宋_GB2312"/>
          <w:noProof/>
          <w:sz w:val="30"/>
          <w:szCs w:val="30"/>
        </w:rPr>
      </w:r>
      <w:r w:rsidR="008906E9" w:rsidRPr="009D0581">
        <w:rPr>
          <w:rFonts w:ascii="仿宋_GB2312" w:eastAsia="仿宋_GB2312"/>
          <w:noProof/>
          <w:sz w:val="30"/>
          <w:szCs w:val="30"/>
        </w:rPr>
        <w:fldChar w:fldCharType="separate"/>
      </w:r>
      <w:r w:rsidR="008335A8">
        <w:rPr>
          <w:rFonts w:ascii="仿宋_GB2312" w:eastAsia="仿宋_GB2312"/>
          <w:noProof/>
          <w:sz w:val="30"/>
          <w:szCs w:val="30"/>
        </w:rPr>
        <w:t>79</w:t>
      </w:r>
      <w:r w:rsidR="008906E9" w:rsidRPr="009D0581">
        <w:rPr>
          <w:rFonts w:ascii="仿宋_GB2312" w:eastAsia="仿宋_GB2312"/>
          <w:noProof/>
          <w:sz w:val="30"/>
          <w:szCs w:val="30"/>
        </w:rPr>
        <w:fldChar w:fldCharType="end"/>
      </w:r>
    </w:p>
    <w:p w:rsidR="00D906DC" w:rsidRDefault="008906E9" w:rsidP="00E711DA">
      <w:pPr>
        <w:adjustRightInd w:val="0"/>
        <w:snapToGrid w:val="0"/>
        <w:spacing w:line="520" w:lineRule="exact"/>
        <w:rPr>
          <w:rFonts w:ascii="方正小标宋简体" w:eastAsia="方正小标宋简体"/>
          <w:sz w:val="30"/>
          <w:szCs w:val="30"/>
        </w:rPr>
      </w:pPr>
      <w:r w:rsidRPr="009D0581">
        <w:fldChar w:fldCharType="end"/>
      </w:r>
    </w:p>
    <w:p w:rsidR="00D906DC" w:rsidRPr="009D0581" w:rsidRDefault="00D906DC" w:rsidP="00E711DA">
      <w:pPr>
        <w:pStyle w:val="1"/>
      </w:pPr>
      <w:r>
        <w:br w:type="page"/>
      </w:r>
      <w:bookmarkStart w:id="0" w:name="_Toc38029043"/>
      <w:r w:rsidRPr="009D0581">
        <w:lastRenderedPageBreak/>
        <w:t>1.</w:t>
      </w:r>
      <w:r w:rsidRPr="009D0581">
        <w:rPr>
          <w:rFonts w:hint="eastAsia"/>
        </w:rPr>
        <w:t>网络游戏“换皮”抄袭的著作权侵权认定案</w:t>
      </w:r>
      <w:bookmarkEnd w:id="0"/>
    </w:p>
    <w:p w:rsidR="00D906DC" w:rsidRPr="009D0581" w:rsidRDefault="00D906DC" w:rsidP="00E711DA">
      <w:pPr>
        <w:pStyle w:val="2"/>
      </w:pPr>
      <w:bookmarkStart w:id="1" w:name="_Toc38029044"/>
      <w:r w:rsidRPr="009D0581">
        <w:t>——</w:t>
      </w:r>
      <w:r w:rsidRPr="009D0581">
        <w:rPr>
          <w:rFonts w:hint="eastAsia"/>
        </w:rPr>
        <w:t>苏州蜗牛数字科技股份有限公司诉成都天象互动科技有限公司、北京爱奇艺科技有限公司著作权侵权纠纷案</w:t>
      </w:r>
      <w:bookmarkEnd w:id="1"/>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p>
    <w:p w:rsidR="00D906DC" w:rsidRPr="005874CB" w:rsidRDefault="00D906DC" w:rsidP="005F3E79">
      <w:pPr>
        <w:adjustRightInd w:val="0"/>
        <w:snapToGrid w:val="0"/>
        <w:spacing w:line="520" w:lineRule="exact"/>
        <w:ind w:firstLineChars="200" w:firstLine="602"/>
        <w:rPr>
          <w:rFonts w:ascii="仿宋_GB2312" w:eastAsia="仿宋_GB2312"/>
          <w:b/>
          <w:bCs/>
          <w:sz w:val="30"/>
          <w:szCs w:val="30"/>
        </w:rPr>
      </w:pPr>
      <w:r w:rsidRPr="005874CB">
        <w:rPr>
          <w:rFonts w:ascii="仿宋_GB2312" w:eastAsia="仿宋_GB2312" w:hint="eastAsia"/>
          <w:b/>
          <w:bCs/>
          <w:sz w:val="30"/>
          <w:szCs w:val="30"/>
        </w:rPr>
        <w:t>【案件信息】</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t>案号：苏州中院（</w:t>
      </w:r>
      <w:r w:rsidRPr="005874CB">
        <w:rPr>
          <w:rFonts w:ascii="仿宋_GB2312" w:eastAsia="仿宋_GB2312"/>
          <w:sz w:val="30"/>
          <w:szCs w:val="30"/>
        </w:rPr>
        <w:t>2015</w:t>
      </w:r>
      <w:r w:rsidRPr="005874CB">
        <w:rPr>
          <w:rFonts w:ascii="仿宋_GB2312" w:eastAsia="仿宋_GB2312" w:hint="eastAsia"/>
          <w:sz w:val="30"/>
          <w:szCs w:val="30"/>
        </w:rPr>
        <w:t>）苏中知民初字第</w:t>
      </w:r>
      <w:r w:rsidRPr="005874CB">
        <w:rPr>
          <w:rFonts w:ascii="仿宋_GB2312" w:eastAsia="仿宋_GB2312"/>
          <w:sz w:val="30"/>
          <w:szCs w:val="30"/>
        </w:rPr>
        <w:t>00201</w:t>
      </w:r>
      <w:r w:rsidRPr="005874CB">
        <w:rPr>
          <w:rFonts w:ascii="仿宋_GB2312" w:eastAsia="仿宋_GB2312" w:hint="eastAsia"/>
          <w:sz w:val="30"/>
          <w:szCs w:val="30"/>
        </w:rPr>
        <w:t>号</w:t>
      </w:r>
    </w:p>
    <w:p w:rsidR="00D906DC" w:rsidRPr="005874CB" w:rsidRDefault="00D906DC" w:rsidP="005F3E79">
      <w:pPr>
        <w:adjustRightInd w:val="0"/>
        <w:snapToGrid w:val="0"/>
        <w:spacing w:line="520" w:lineRule="exact"/>
        <w:ind w:firstLineChars="500" w:firstLine="1500"/>
        <w:rPr>
          <w:rFonts w:ascii="仿宋_GB2312" w:eastAsia="仿宋_GB2312"/>
          <w:sz w:val="30"/>
          <w:szCs w:val="30"/>
        </w:rPr>
      </w:pPr>
      <w:r w:rsidRPr="005874CB">
        <w:rPr>
          <w:rFonts w:ascii="仿宋_GB2312" w:eastAsia="仿宋_GB2312" w:hint="eastAsia"/>
          <w:sz w:val="30"/>
          <w:szCs w:val="30"/>
        </w:rPr>
        <w:t>江苏高院（</w:t>
      </w:r>
      <w:r w:rsidRPr="005874CB">
        <w:rPr>
          <w:rFonts w:ascii="仿宋_GB2312" w:eastAsia="仿宋_GB2312"/>
          <w:sz w:val="30"/>
          <w:szCs w:val="30"/>
        </w:rPr>
        <w:t>2018</w:t>
      </w:r>
      <w:r w:rsidRPr="005874CB">
        <w:rPr>
          <w:rFonts w:ascii="仿宋_GB2312" w:eastAsia="仿宋_GB2312" w:hint="eastAsia"/>
          <w:sz w:val="30"/>
          <w:szCs w:val="30"/>
        </w:rPr>
        <w:t>）苏民终</w:t>
      </w:r>
      <w:r w:rsidRPr="005874CB">
        <w:rPr>
          <w:rFonts w:ascii="仿宋_GB2312" w:eastAsia="仿宋_GB2312"/>
          <w:sz w:val="30"/>
          <w:szCs w:val="30"/>
        </w:rPr>
        <w:t>1054</w:t>
      </w:r>
      <w:r w:rsidRPr="005874CB">
        <w:rPr>
          <w:rFonts w:ascii="仿宋_GB2312" w:eastAsia="仿宋_GB2312" w:hint="eastAsia"/>
          <w:sz w:val="30"/>
          <w:szCs w:val="30"/>
        </w:rPr>
        <w:t>号</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t>原告：苏州蜗牛数字科技股份有限公司</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t>被告：成都天象互动科技有限公司，北京爱奇艺科技有限公司</w:t>
      </w:r>
    </w:p>
    <w:p w:rsidR="00D906DC" w:rsidRPr="005874CB" w:rsidRDefault="00D906DC" w:rsidP="005F3E79">
      <w:pPr>
        <w:adjustRightInd w:val="0"/>
        <w:snapToGrid w:val="0"/>
        <w:spacing w:line="520" w:lineRule="exact"/>
        <w:ind w:firstLineChars="200" w:firstLine="602"/>
        <w:rPr>
          <w:rFonts w:ascii="仿宋_GB2312" w:eastAsia="仿宋_GB2312"/>
          <w:b/>
          <w:bCs/>
          <w:sz w:val="30"/>
          <w:szCs w:val="30"/>
        </w:rPr>
      </w:pPr>
      <w:r w:rsidRPr="005874CB">
        <w:rPr>
          <w:rFonts w:ascii="仿宋_GB2312" w:eastAsia="仿宋_GB2312" w:hint="eastAsia"/>
          <w:b/>
          <w:bCs/>
          <w:sz w:val="30"/>
          <w:szCs w:val="30"/>
        </w:rPr>
        <w:t>【裁判要旨】</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t>著作权法保护的“表达”不仅指“表达形式”，还包括具有独创性的“表达内容”。网络游戏通过具有独创性的界面布局、文字、交互等设计，以及对其他公有领域、有限表达等要素的选择、排列、组合所构成的新的界面布局、文字、交互等设计，实现了对游戏具体玩法规则的特定呈现方式，如果该特定呈现方式已经可以达到区别于其他游戏的创作性特征，则可以被认定为著作权法保护的具有独创性的“表达”范畴。</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t>游戏的整体运行画面可以认定为类似摄制电影的方法创作的作品。</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t>网络游戏结构、玩法规则、数值策划、技能体系、界面布局及交互等设计属于整个游戏设计中的核心内容，而游戏角色形象、配音配乐等内容则属于形象设计，相当于游戏的皮肤或者衣服。“换皮”抄袭一般是指在后游戏使用与在先游戏不同的角色形象、音乐等元素，而在玩法规则、数值策划、技能体系、操作界面等方面与在先游戏相同</w:t>
      </w:r>
      <w:r w:rsidRPr="005874CB">
        <w:rPr>
          <w:rFonts w:ascii="仿宋_GB2312" w:eastAsia="仿宋_GB2312" w:hint="eastAsia"/>
          <w:sz w:val="30"/>
          <w:szCs w:val="30"/>
        </w:rPr>
        <w:lastRenderedPageBreak/>
        <w:t>或者实质性相似，是对游戏具体玩法规则涉及的特定表达整体照搬和复制，构成著作权侵权。</w:t>
      </w:r>
    </w:p>
    <w:p w:rsidR="00D906DC" w:rsidRPr="005874CB" w:rsidRDefault="00D906DC" w:rsidP="005F3E79">
      <w:pPr>
        <w:adjustRightInd w:val="0"/>
        <w:snapToGrid w:val="0"/>
        <w:spacing w:line="520" w:lineRule="exact"/>
        <w:ind w:firstLineChars="200" w:firstLine="602"/>
        <w:rPr>
          <w:rFonts w:ascii="仿宋_GB2312" w:eastAsia="仿宋_GB2312"/>
          <w:b/>
          <w:bCs/>
          <w:sz w:val="30"/>
          <w:szCs w:val="30"/>
        </w:rPr>
      </w:pPr>
      <w:r w:rsidRPr="005874CB">
        <w:rPr>
          <w:rFonts w:ascii="仿宋_GB2312" w:eastAsia="仿宋_GB2312" w:hint="eastAsia"/>
          <w:b/>
          <w:bCs/>
          <w:sz w:val="30"/>
          <w:szCs w:val="30"/>
        </w:rPr>
        <w:t>【基本案情】</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t>苏州蜗牛数字科技股份有限公司</w:t>
      </w:r>
      <w:r>
        <w:rPr>
          <w:rFonts w:ascii="仿宋_GB2312" w:eastAsia="仿宋_GB2312" w:hint="eastAsia"/>
          <w:sz w:val="30"/>
          <w:szCs w:val="30"/>
        </w:rPr>
        <w:t>（以下简称</w:t>
      </w:r>
      <w:r w:rsidRPr="005874CB">
        <w:rPr>
          <w:rFonts w:ascii="仿宋_GB2312" w:eastAsia="仿宋_GB2312" w:hint="eastAsia"/>
          <w:sz w:val="30"/>
          <w:szCs w:val="30"/>
        </w:rPr>
        <w:t>蜗牛公司</w:t>
      </w:r>
      <w:r>
        <w:rPr>
          <w:rFonts w:ascii="仿宋_GB2312" w:eastAsia="仿宋_GB2312" w:hint="eastAsia"/>
          <w:sz w:val="30"/>
          <w:szCs w:val="30"/>
        </w:rPr>
        <w:t>）</w:t>
      </w:r>
      <w:r w:rsidRPr="005874CB">
        <w:rPr>
          <w:rFonts w:ascii="仿宋_GB2312" w:eastAsia="仿宋_GB2312" w:hint="eastAsia"/>
          <w:sz w:val="30"/>
          <w:szCs w:val="30"/>
        </w:rPr>
        <w:t>开发的手机游戏《太极熊猫》最早版本于</w:t>
      </w:r>
      <w:r w:rsidRPr="005874CB">
        <w:rPr>
          <w:rFonts w:ascii="仿宋_GB2312" w:eastAsia="仿宋_GB2312"/>
          <w:sz w:val="30"/>
          <w:szCs w:val="30"/>
        </w:rPr>
        <w:t>2014</w:t>
      </w:r>
      <w:r w:rsidRPr="005874CB">
        <w:rPr>
          <w:rFonts w:ascii="仿宋_GB2312" w:eastAsia="仿宋_GB2312" w:hint="eastAsia"/>
          <w:sz w:val="30"/>
          <w:szCs w:val="30"/>
        </w:rPr>
        <w:t>年</w:t>
      </w:r>
      <w:r w:rsidRPr="005874CB">
        <w:rPr>
          <w:rFonts w:ascii="仿宋_GB2312" w:eastAsia="仿宋_GB2312"/>
          <w:sz w:val="30"/>
          <w:szCs w:val="30"/>
        </w:rPr>
        <w:t>10</w:t>
      </w:r>
      <w:r w:rsidRPr="005874CB">
        <w:rPr>
          <w:rFonts w:ascii="仿宋_GB2312" w:eastAsia="仿宋_GB2312" w:hint="eastAsia"/>
          <w:sz w:val="30"/>
          <w:szCs w:val="30"/>
        </w:rPr>
        <w:t>月</w:t>
      </w:r>
      <w:r w:rsidRPr="005874CB">
        <w:rPr>
          <w:rFonts w:ascii="仿宋_GB2312" w:eastAsia="仿宋_GB2312"/>
          <w:sz w:val="30"/>
          <w:szCs w:val="30"/>
        </w:rPr>
        <w:t>31</w:t>
      </w:r>
      <w:r w:rsidRPr="005874CB">
        <w:rPr>
          <w:rFonts w:ascii="仿宋_GB2312" w:eastAsia="仿宋_GB2312" w:hint="eastAsia"/>
          <w:sz w:val="30"/>
          <w:szCs w:val="30"/>
        </w:rPr>
        <w:t>日上线；成都天象互动科技有限公司</w:t>
      </w:r>
      <w:r>
        <w:rPr>
          <w:rFonts w:ascii="仿宋_GB2312" w:eastAsia="仿宋_GB2312" w:hint="eastAsia"/>
          <w:sz w:val="30"/>
          <w:szCs w:val="30"/>
        </w:rPr>
        <w:t>（以下简称</w:t>
      </w:r>
      <w:r w:rsidRPr="005874CB">
        <w:rPr>
          <w:rFonts w:ascii="仿宋_GB2312" w:eastAsia="仿宋_GB2312" w:hint="eastAsia"/>
          <w:sz w:val="30"/>
          <w:szCs w:val="30"/>
        </w:rPr>
        <w:t>天象公司</w:t>
      </w:r>
      <w:r>
        <w:rPr>
          <w:rFonts w:ascii="仿宋_GB2312" w:eastAsia="仿宋_GB2312" w:hint="eastAsia"/>
          <w:sz w:val="30"/>
          <w:szCs w:val="30"/>
        </w:rPr>
        <w:t>）</w:t>
      </w:r>
      <w:r w:rsidRPr="005874CB">
        <w:rPr>
          <w:rFonts w:ascii="仿宋_GB2312" w:eastAsia="仿宋_GB2312" w:hint="eastAsia"/>
          <w:sz w:val="30"/>
          <w:szCs w:val="30"/>
        </w:rPr>
        <w:t>、北京爱奇艺科技有限公司</w:t>
      </w:r>
      <w:r>
        <w:rPr>
          <w:rFonts w:ascii="仿宋_GB2312" w:eastAsia="仿宋_GB2312" w:hint="eastAsia"/>
          <w:sz w:val="30"/>
          <w:szCs w:val="30"/>
        </w:rPr>
        <w:t>（以下简称</w:t>
      </w:r>
      <w:r w:rsidRPr="005874CB">
        <w:rPr>
          <w:rFonts w:ascii="仿宋_GB2312" w:eastAsia="仿宋_GB2312" w:hint="eastAsia"/>
          <w:sz w:val="30"/>
          <w:szCs w:val="30"/>
        </w:rPr>
        <w:t>爱奇艺公司</w:t>
      </w:r>
      <w:r>
        <w:rPr>
          <w:rFonts w:ascii="仿宋_GB2312" w:eastAsia="仿宋_GB2312" w:hint="eastAsia"/>
          <w:sz w:val="30"/>
          <w:szCs w:val="30"/>
        </w:rPr>
        <w:t>）</w:t>
      </w:r>
      <w:r w:rsidRPr="005874CB">
        <w:rPr>
          <w:rFonts w:ascii="仿宋_GB2312" w:eastAsia="仿宋_GB2312" w:hint="eastAsia"/>
          <w:sz w:val="30"/>
          <w:szCs w:val="30"/>
        </w:rPr>
        <w:t>开发的手机游戏《花千骨》最早版本于</w:t>
      </w:r>
      <w:r w:rsidRPr="005874CB">
        <w:rPr>
          <w:rFonts w:ascii="仿宋_GB2312" w:eastAsia="仿宋_GB2312"/>
          <w:sz w:val="30"/>
          <w:szCs w:val="30"/>
        </w:rPr>
        <w:t>2015</w:t>
      </w:r>
      <w:r w:rsidRPr="005874CB">
        <w:rPr>
          <w:rFonts w:ascii="仿宋_GB2312" w:eastAsia="仿宋_GB2312" w:hint="eastAsia"/>
          <w:sz w:val="30"/>
          <w:szCs w:val="30"/>
        </w:rPr>
        <w:t>年</w:t>
      </w:r>
      <w:r w:rsidRPr="005874CB">
        <w:rPr>
          <w:rFonts w:ascii="仿宋_GB2312" w:eastAsia="仿宋_GB2312"/>
          <w:sz w:val="30"/>
          <w:szCs w:val="30"/>
        </w:rPr>
        <w:t>6</w:t>
      </w:r>
      <w:r w:rsidRPr="005874CB">
        <w:rPr>
          <w:rFonts w:ascii="仿宋_GB2312" w:eastAsia="仿宋_GB2312" w:hint="eastAsia"/>
          <w:sz w:val="30"/>
          <w:szCs w:val="30"/>
        </w:rPr>
        <w:t>月</w:t>
      </w:r>
      <w:r w:rsidRPr="005874CB">
        <w:rPr>
          <w:rFonts w:ascii="仿宋_GB2312" w:eastAsia="仿宋_GB2312"/>
          <w:sz w:val="30"/>
          <w:szCs w:val="30"/>
        </w:rPr>
        <w:t>19</w:t>
      </w:r>
      <w:r w:rsidRPr="005874CB">
        <w:rPr>
          <w:rFonts w:ascii="仿宋_GB2312" w:eastAsia="仿宋_GB2312" w:hint="eastAsia"/>
          <w:sz w:val="30"/>
          <w:szCs w:val="30"/>
        </w:rPr>
        <w:t>日上线。</w:t>
      </w:r>
      <w:r w:rsidRPr="005874CB">
        <w:rPr>
          <w:rFonts w:ascii="仿宋_GB2312" w:eastAsia="仿宋_GB2312"/>
          <w:sz w:val="30"/>
          <w:szCs w:val="30"/>
        </w:rPr>
        <w:t>2015</w:t>
      </w:r>
      <w:r w:rsidRPr="005874CB">
        <w:rPr>
          <w:rFonts w:ascii="仿宋_GB2312" w:eastAsia="仿宋_GB2312" w:hint="eastAsia"/>
          <w:sz w:val="30"/>
          <w:szCs w:val="30"/>
        </w:rPr>
        <w:t>年</w:t>
      </w:r>
      <w:r w:rsidRPr="005874CB">
        <w:rPr>
          <w:rFonts w:ascii="仿宋_GB2312" w:eastAsia="仿宋_GB2312"/>
          <w:sz w:val="30"/>
          <w:szCs w:val="30"/>
        </w:rPr>
        <w:t>8</w:t>
      </w:r>
      <w:r w:rsidRPr="005874CB">
        <w:rPr>
          <w:rFonts w:ascii="仿宋_GB2312" w:eastAsia="仿宋_GB2312" w:hint="eastAsia"/>
          <w:sz w:val="30"/>
          <w:szCs w:val="30"/>
        </w:rPr>
        <w:t>月</w:t>
      </w:r>
      <w:r w:rsidRPr="005874CB">
        <w:rPr>
          <w:rFonts w:ascii="仿宋_GB2312" w:eastAsia="仿宋_GB2312"/>
          <w:sz w:val="30"/>
          <w:szCs w:val="30"/>
        </w:rPr>
        <w:t>5</w:t>
      </w:r>
      <w:r w:rsidRPr="005874CB">
        <w:rPr>
          <w:rFonts w:ascii="仿宋_GB2312" w:eastAsia="仿宋_GB2312" w:hint="eastAsia"/>
          <w:sz w:val="30"/>
          <w:szCs w:val="30"/>
        </w:rPr>
        <w:t>日，蜗牛公司向一审法院提起诉讼，认为《花千骨》手机游戏“换皮”抄袭了《太极熊猫》游戏，即仅更换了《花千骨》游戏中的角色图片形象、配音配乐等，而在游戏的玩法规则、数值策划、技能体系、操作界面等方面与《太极熊猫》游戏完全相同或者实质性相似。蜗牛公司要求天象公司、爱奇艺公司立即停止侵权行为，在公开媒体上赔礼道歉、消除影响，并赔偿经济损失</w:t>
      </w:r>
      <w:r w:rsidRPr="005874CB">
        <w:rPr>
          <w:rFonts w:ascii="仿宋_GB2312" w:eastAsia="仿宋_GB2312"/>
          <w:sz w:val="30"/>
          <w:szCs w:val="30"/>
        </w:rPr>
        <w:t>3000</w:t>
      </w:r>
      <w:r w:rsidRPr="005874CB">
        <w:rPr>
          <w:rFonts w:ascii="仿宋_GB2312" w:eastAsia="仿宋_GB2312" w:hint="eastAsia"/>
          <w:sz w:val="30"/>
          <w:szCs w:val="30"/>
        </w:rPr>
        <w:t>万元。</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t>法院查明，《花千骨》游戏与《太极熊猫》游戏相比，其中有</w:t>
      </w:r>
      <w:r w:rsidRPr="005874CB">
        <w:rPr>
          <w:rFonts w:ascii="仿宋_GB2312" w:eastAsia="仿宋_GB2312"/>
          <w:sz w:val="30"/>
          <w:szCs w:val="30"/>
        </w:rPr>
        <w:t>29</w:t>
      </w:r>
      <w:r w:rsidRPr="005874CB">
        <w:rPr>
          <w:rFonts w:ascii="仿宋_GB2312" w:eastAsia="仿宋_GB2312" w:hint="eastAsia"/>
          <w:sz w:val="30"/>
          <w:szCs w:val="30"/>
        </w:rPr>
        <w:t>个玩法在界面布局和玩法规则上基本一致或构成实质性相似；另外《花千骨》游戏中</w:t>
      </w:r>
      <w:r w:rsidRPr="005874CB">
        <w:rPr>
          <w:rFonts w:ascii="仿宋_GB2312" w:eastAsia="仿宋_GB2312"/>
          <w:sz w:val="30"/>
          <w:szCs w:val="30"/>
        </w:rPr>
        <w:t>47</w:t>
      </w:r>
      <w:r w:rsidRPr="005874CB">
        <w:rPr>
          <w:rFonts w:ascii="仿宋_GB2312" w:eastAsia="仿宋_GB2312" w:hint="eastAsia"/>
          <w:sz w:val="30"/>
          <w:szCs w:val="30"/>
        </w:rPr>
        <w:t>件装备的</w:t>
      </w:r>
      <w:r w:rsidRPr="005874CB">
        <w:rPr>
          <w:rFonts w:ascii="仿宋_GB2312" w:eastAsia="仿宋_GB2312"/>
          <w:sz w:val="30"/>
          <w:szCs w:val="30"/>
        </w:rPr>
        <w:t>24</w:t>
      </w:r>
      <w:r w:rsidRPr="005874CB">
        <w:rPr>
          <w:rFonts w:ascii="仿宋_GB2312" w:eastAsia="仿宋_GB2312" w:hint="eastAsia"/>
          <w:sz w:val="30"/>
          <w:szCs w:val="30"/>
        </w:rPr>
        <w:t>个属性数值与《太极熊猫》游戏呈现相同或者同比例微调的对应关系；《花千骨》</w:t>
      </w:r>
      <w:r w:rsidRPr="005874CB">
        <w:rPr>
          <w:rFonts w:ascii="仿宋_GB2312" w:eastAsia="仿宋_GB2312"/>
          <w:sz w:val="30"/>
          <w:szCs w:val="30"/>
        </w:rPr>
        <w:t>V1.0</w:t>
      </w:r>
      <w:r w:rsidRPr="005874CB">
        <w:rPr>
          <w:rFonts w:ascii="仿宋_GB2312" w:eastAsia="仿宋_GB2312" w:hint="eastAsia"/>
          <w:sz w:val="30"/>
          <w:szCs w:val="30"/>
        </w:rPr>
        <w:t>版游戏软件的计算机软件著作权登记存档资料中，功能模块结构图、功能流程图以及封印石系统入口等全部</w:t>
      </w:r>
      <w:r w:rsidRPr="005874CB">
        <w:rPr>
          <w:rFonts w:ascii="仿宋_GB2312" w:eastAsia="仿宋_GB2312"/>
          <w:sz w:val="30"/>
          <w:szCs w:val="30"/>
        </w:rPr>
        <w:t>26</w:t>
      </w:r>
      <w:r w:rsidRPr="005874CB">
        <w:rPr>
          <w:rFonts w:ascii="仿宋_GB2312" w:eastAsia="仿宋_GB2312" w:hint="eastAsia"/>
          <w:sz w:val="30"/>
          <w:szCs w:val="30"/>
        </w:rPr>
        <w:t>张</w:t>
      </w:r>
      <w:r w:rsidRPr="005874CB">
        <w:rPr>
          <w:rFonts w:ascii="仿宋_GB2312" w:eastAsia="仿宋_GB2312"/>
          <w:sz w:val="30"/>
          <w:szCs w:val="30"/>
        </w:rPr>
        <w:t>UI</w:t>
      </w:r>
      <w:r w:rsidRPr="005874CB">
        <w:rPr>
          <w:rFonts w:ascii="仿宋_GB2312" w:eastAsia="仿宋_GB2312" w:hint="eastAsia"/>
          <w:sz w:val="30"/>
          <w:szCs w:val="30"/>
        </w:rPr>
        <w:t>界面图所使用的均为《太极熊猫》游戏的元素和界面。同时，在新浪微博以及</w:t>
      </w:r>
      <w:r w:rsidRPr="005874CB">
        <w:rPr>
          <w:rFonts w:ascii="仿宋_GB2312" w:eastAsia="仿宋_GB2312"/>
          <w:sz w:val="30"/>
          <w:szCs w:val="30"/>
        </w:rPr>
        <w:t>IOS</w:t>
      </w:r>
      <w:r w:rsidRPr="005874CB">
        <w:rPr>
          <w:rFonts w:ascii="仿宋_GB2312" w:eastAsia="仿宋_GB2312" w:hint="eastAsia"/>
          <w:sz w:val="30"/>
          <w:szCs w:val="30"/>
        </w:rPr>
        <w:t>系统《花千骨》游戏用户评论中，亦有大量游戏玩家评论两游戏非常相似。</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t>关于赔偿额，</w:t>
      </w:r>
      <w:r w:rsidRPr="005874CB">
        <w:rPr>
          <w:rFonts w:ascii="仿宋_GB2312" w:eastAsia="仿宋_GB2312"/>
          <w:sz w:val="30"/>
          <w:szCs w:val="30"/>
        </w:rPr>
        <w:t>2015</w:t>
      </w:r>
      <w:r w:rsidRPr="005874CB">
        <w:rPr>
          <w:rFonts w:ascii="仿宋_GB2312" w:eastAsia="仿宋_GB2312" w:hint="eastAsia"/>
          <w:sz w:val="30"/>
          <w:szCs w:val="30"/>
        </w:rPr>
        <w:t>年</w:t>
      </w:r>
      <w:r w:rsidRPr="005874CB">
        <w:rPr>
          <w:rFonts w:ascii="仿宋_GB2312" w:eastAsia="仿宋_GB2312"/>
          <w:sz w:val="30"/>
          <w:szCs w:val="30"/>
        </w:rPr>
        <w:t>7</w:t>
      </w:r>
      <w:r w:rsidRPr="005874CB">
        <w:rPr>
          <w:rFonts w:ascii="仿宋_GB2312" w:eastAsia="仿宋_GB2312" w:hint="eastAsia"/>
          <w:sz w:val="30"/>
          <w:szCs w:val="30"/>
        </w:rPr>
        <w:t>月至</w:t>
      </w:r>
      <w:r w:rsidRPr="005874CB">
        <w:rPr>
          <w:rFonts w:ascii="仿宋_GB2312" w:eastAsia="仿宋_GB2312"/>
          <w:sz w:val="30"/>
          <w:szCs w:val="30"/>
        </w:rPr>
        <w:t>2016</w:t>
      </w:r>
      <w:r w:rsidRPr="005874CB">
        <w:rPr>
          <w:rFonts w:ascii="仿宋_GB2312" w:eastAsia="仿宋_GB2312" w:hint="eastAsia"/>
          <w:sz w:val="30"/>
          <w:szCs w:val="30"/>
        </w:rPr>
        <w:t>年</w:t>
      </w:r>
      <w:r w:rsidRPr="005874CB">
        <w:rPr>
          <w:rFonts w:ascii="仿宋_GB2312" w:eastAsia="仿宋_GB2312"/>
          <w:sz w:val="30"/>
          <w:szCs w:val="30"/>
        </w:rPr>
        <w:t>1</w:t>
      </w:r>
      <w:r w:rsidRPr="005874CB">
        <w:rPr>
          <w:rFonts w:ascii="仿宋_GB2312" w:eastAsia="仿宋_GB2312" w:hint="eastAsia"/>
          <w:sz w:val="30"/>
          <w:szCs w:val="30"/>
        </w:rPr>
        <w:t>月期间，天象公司向爱奇艺公司开具的增值税专用发票涉及价税金额</w:t>
      </w:r>
      <w:r w:rsidRPr="005874CB">
        <w:rPr>
          <w:rFonts w:ascii="仿宋_GB2312" w:eastAsia="仿宋_GB2312"/>
          <w:sz w:val="30"/>
          <w:szCs w:val="30"/>
        </w:rPr>
        <w:t>16917299.33</w:t>
      </w:r>
      <w:r w:rsidRPr="005874CB">
        <w:rPr>
          <w:rFonts w:ascii="仿宋_GB2312" w:eastAsia="仿宋_GB2312" w:hint="eastAsia"/>
          <w:sz w:val="30"/>
          <w:szCs w:val="30"/>
        </w:rPr>
        <w:t>元。天象公</w:t>
      </w:r>
      <w:r w:rsidRPr="005874CB">
        <w:rPr>
          <w:rFonts w:ascii="仿宋_GB2312" w:eastAsia="仿宋_GB2312" w:hint="eastAsia"/>
          <w:sz w:val="30"/>
          <w:szCs w:val="30"/>
        </w:rPr>
        <w:lastRenderedPageBreak/>
        <w:t>司认证爱奇艺公司开具的增值税专用发票涉及价税金额</w:t>
      </w:r>
      <w:r w:rsidRPr="005874CB">
        <w:rPr>
          <w:rFonts w:ascii="仿宋_GB2312" w:eastAsia="仿宋_GB2312"/>
          <w:sz w:val="30"/>
          <w:szCs w:val="30"/>
        </w:rPr>
        <w:t>40871859.22</w:t>
      </w:r>
      <w:r w:rsidRPr="005874CB">
        <w:rPr>
          <w:rFonts w:ascii="仿宋_GB2312" w:eastAsia="仿宋_GB2312" w:hint="eastAsia"/>
          <w:sz w:val="30"/>
          <w:szCs w:val="30"/>
        </w:rPr>
        <w:t>元。根据爱奇艺公司与天象公司签订的《</w:t>
      </w:r>
      <w:r w:rsidRPr="005874CB">
        <w:rPr>
          <w:rFonts w:ascii="仿宋_GB2312" w:eastAsia="仿宋_GB2312"/>
          <w:sz w:val="30"/>
          <w:szCs w:val="30"/>
        </w:rPr>
        <w:t>&lt;</w:t>
      </w:r>
      <w:r w:rsidRPr="005874CB">
        <w:rPr>
          <w:rFonts w:ascii="仿宋_GB2312" w:eastAsia="仿宋_GB2312" w:hint="eastAsia"/>
          <w:sz w:val="30"/>
          <w:szCs w:val="30"/>
        </w:rPr>
        <w:t>花千骨</w:t>
      </w:r>
      <w:r w:rsidRPr="005874CB">
        <w:rPr>
          <w:rFonts w:ascii="仿宋_GB2312" w:eastAsia="仿宋_GB2312"/>
          <w:sz w:val="30"/>
          <w:szCs w:val="30"/>
        </w:rPr>
        <w:t>&gt;</w:t>
      </w:r>
      <w:r w:rsidRPr="005874CB">
        <w:rPr>
          <w:rFonts w:ascii="仿宋_GB2312" w:eastAsia="仿宋_GB2312" w:hint="eastAsia"/>
          <w:sz w:val="30"/>
          <w:szCs w:val="30"/>
        </w:rPr>
        <w:t>手机网络游戏合作协议》，双方支付对方的分成为运营收入的</w:t>
      </w:r>
      <w:r w:rsidRPr="005874CB">
        <w:rPr>
          <w:rFonts w:ascii="仿宋_GB2312" w:eastAsia="仿宋_GB2312"/>
          <w:sz w:val="30"/>
          <w:szCs w:val="30"/>
        </w:rPr>
        <w:t>25%</w:t>
      </w:r>
      <w:r w:rsidRPr="005874CB">
        <w:rPr>
          <w:rFonts w:ascii="仿宋_GB2312" w:eastAsia="仿宋_GB2312" w:hint="eastAsia"/>
          <w:sz w:val="30"/>
          <w:szCs w:val="30"/>
        </w:rPr>
        <w:t>。</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t>天象公司、爱奇艺公司的主要抗辩包括以下几点：</w:t>
      </w:r>
      <w:r w:rsidRPr="005874CB">
        <w:rPr>
          <w:rFonts w:ascii="仿宋_GB2312" w:eastAsia="仿宋_GB2312"/>
          <w:sz w:val="30"/>
          <w:szCs w:val="30"/>
        </w:rPr>
        <w:t>1.</w:t>
      </w:r>
      <w:r w:rsidRPr="005874CB">
        <w:rPr>
          <w:rFonts w:ascii="仿宋_GB2312" w:eastAsia="仿宋_GB2312" w:hint="eastAsia"/>
          <w:sz w:val="30"/>
          <w:szCs w:val="30"/>
        </w:rPr>
        <w:t>游戏的玩法规则属于思想，不能受著作权法保护；</w:t>
      </w:r>
      <w:r w:rsidRPr="005874CB">
        <w:rPr>
          <w:rFonts w:ascii="仿宋_GB2312" w:eastAsia="仿宋_GB2312"/>
          <w:sz w:val="30"/>
          <w:szCs w:val="30"/>
        </w:rPr>
        <w:t>2.</w:t>
      </w:r>
      <w:r w:rsidRPr="005874CB">
        <w:rPr>
          <w:rFonts w:ascii="仿宋_GB2312" w:eastAsia="仿宋_GB2312" w:hint="eastAsia"/>
          <w:sz w:val="30"/>
          <w:szCs w:val="30"/>
        </w:rPr>
        <w:t>蜗牛公司的权利基础存在瑕疵，其向法院演示的游戏版本是其自行单独搭建的服务器，存在修改的可能性；</w:t>
      </w:r>
      <w:r w:rsidRPr="005874CB">
        <w:rPr>
          <w:rFonts w:ascii="仿宋_GB2312" w:eastAsia="仿宋_GB2312"/>
          <w:sz w:val="30"/>
          <w:szCs w:val="30"/>
        </w:rPr>
        <w:t>3.</w:t>
      </w:r>
      <w:r w:rsidRPr="005874CB">
        <w:rPr>
          <w:rFonts w:ascii="仿宋_GB2312" w:eastAsia="仿宋_GB2312" w:hint="eastAsia"/>
          <w:sz w:val="30"/>
          <w:szCs w:val="30"/>
        </w:rPr>
        <w:t>《花千骨》游戏在人物形象、故事情节、音乐配音等方面均与《太极熊猫》游戏存在较大差异，即便部分玩法规则相同，也属于合理借鉴不属于侵权；</w:t>
      </w:r>
      <w:r w:rsidRPr="005874CB">
        <w:rPr>
          <w:rFonts w:ascii="仿宋_GB2312" w:eastAsia="仿宋_GB2312"/>
          <w:sz w:val="30"/>
          <w:szCs w:val="30"/>
        </w:rPr>
        <w:t>4.</w:t>
      </w:r>
      <w:r w:rsidRPr="005874CB">
        <w:rPr>
          <w:rFonts w:ascii="仿宋_GB2312" w:eastAsia="仿宋_GB2312" w:hint="eastAsia"/>
          <w:sz w:val="30"/>
          <w:szCs w:val="30"/>
        </w:rPr>
        <w:t>蜗牛公司主张的赔偿额过高。</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t>另外，蜗牛公司确认《花千骨》游戏经过历次迭代更新，于</w:t>
      </w:r>
      <w:r w:rsidRPr="005874CB">
        <w:rPr>
          <w:rFonts w:ascii="仿宋_GB2312" w:eastAsia="仿宋_GB2312"/>
          <w:sz w:val="30"/>
          <w:szCs w:val="30"/>
        </w:rPr>
        <w:t>2016</w:t>
      </w:r>
      <w:r w:rsidRPr="005874CB">
        <w:rPr>
          <w:rFonts w:ascii="仿宋_GB2312" w:eastAsia="仿宋_GB2312" w:hint="eastAsia"/>
          <w:sz w:val="30"/>
          <w:szCs w:val="30"/>
        </w:rPr>
        <w:t>年</w:t>
      </w:r>
      <w:r w:rsidRPr="005874CB">
        <w:rPr>
          <w:rFonts w:ascii="仿宋_GB2312" w:eastAsia="仿宋_GB2312"/>
          <w:sz w:val="30"/>
          <w:szCs w:val="30"/>
        </w:rPr>
        <w:t>1</w:t>
      </w:r>
      <w:r w:rsidRPr="005874CB">
        <w:rPr>
          <w:rFonts w:ascii="仿宋_GB2312" w:eastAsia="仿宋_GB2312" w:hint="eastAsia"/>
          <w:sz w:val="30"/>
          <w:szCs w:val="30"/>
        </w:rPr>
        <w:t>月</w:t>
      </w:r>
      <w:r w:rsidRPr="005874CB">
        <w:rPr>
          <w:rFonts w:ascii="仿宋_GB2312" w:eastAsia="仿宋_GB2312"/>
          <w:sz w:val="30"/>
          <w:szCs w:val="30"/>
        </w:rPr>
        <w:t>19</w:t>
      </w:r>
      <w:r w:rsidRPr="005874CB">
        <w:rPr>
          <w:rFonts w:ascii="仿宋_GB2312" w:eastAsia="仿宋_GB2312" w:hint="eastAsia"/>
          <w:sz w:val="30"/>
          <w:szCs w:val="30"/>
        </w:rPr>
        <w:t>日上线发布的</w:t>
      </w:r>
      <w:r w:rsidRPr="005874CB">
        <w:rPr>
          <w:rFonts w:ascii="仿宋_GB2312" w:eastAsia="仿宋_GB2312"/>
          <w:sz w:val="30"/>
          <w:szCs w:val="30"/>
        </w:rPr>
        <w:t>1.8.0</w:t>
      </w:r>
      <w:r w:rsidRPr="005874CB">
        <w:rPr>
          <w:rFonts w:ascii="仿宋_GB2312" w:eastAsia="仿宋_GB2312" w:hint="eastAsia"/>
          <w:sz w:val="30"/>
          <w:szCs w:val="30"/>
        </w:rPr>
        <w:t>版本已经不包含指控的侵权内容。</w:t>
      </w:r>
    </w:p>
    <w:p w:rsidR="00D906DC" w:rsidRPr="005874CB" w:rsidRDefault="00D906DC" w:rsidP="005F3E79">
      <w:pPr>
        <w:adjustRightInd w:val="0"/>
        <w:snapToGrid w:val="0"/>
        <w:spacing w:line="520" w:lineRule="exact"/>
        <w:ind w:firstLineChars="200" w:firstLine="602"/>
        <w:rPr>
          <w:rFonts w:ascii="仿宋_GB2312" w:eastAsia="仿宋_GB2312"/>
          <w:b/>
          <w:bCs/>
          <w:sz w:val="30"/>
          <w:szCs w:val="30"/>
        </w:rPr>
      </w:pPr>
      <w:r w:rsidRPr="005874CB">
        <w:rPr>
          <w:rFonts w:ascii="仿宋_GB2312" w:eastAsia="仿宋_GB2312" w:hint="eastAsia"/>
          <w:b/>
          <w:bCs/>
          <w:sz w:val="30"/>
          <w:szCs w:val="30"/>
        </w:rPr>
        <w:t>【法院认为】</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t>苏州中院一审认为：</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t>一、涉案《太极熊猫》游戏运行动态画面整体构成以类似摄制电影的方法创作的作品。网络游戏的整体运行画面是其整体作品的表现形态。网络游戏最终显示在屏幕中的整体画面，是以其计算机程序为驱动，将其文字、音乐、图片、音频、视频等多种可版权元素，以体现和服务游戏玩法和游戏规则为目的形成的有机、连续、动态组合的呈现。其整体运行画面才是网络游戏作品完整的呈现方式，也是玩家所认知和感知的整体作品形态。《太极熊猫》整体画面从其表现效果来看，是随着玩家的不断操作，呈现在屏幕上的“连续动态的图像”，符合类</w:t>
      </w:r>
      <w:r>
        <w:rPr>
          <w:rFonts w:ascii="仿宋_GB2312" w:eastAsia="仿宋_GB2312" w:hint="eastAsia"/>
          <w:sz w:val="30"/>
          <w:szCs w:val="30"/>
        </w:rPr>
        <w:t>电影</w:t>
      </w:r>
      <w:r w:rsidRPr="005874CB">
        <w:rPr>
          <w:rFonts w:ascii="仿宋_GB2312" w:eastAsia="仿宋_GB2312" w:hint="eastAsia"/>
          <w:sz w:val="30"/>
          <w:szCs w:val="30"/>
        </w:rPr>
        <w:t>作品的定义。进一步的，</w:t>
      </w:r>
      <w:r w:rsidRPr="005874CB">
        <w:rPr>
          <w:rFonts w:ascii="仿宋_GB2312" w:eastAsia="仿宋_GB2312"/>
          <w:sz w:val="30"/>
          <w:szCs w:val="30"/>
        </w:rPr>
        <w:t>ARPG</w:t>
      </w:r>
      <w:r w:rsidRPr="005874CB">
        <w:rPr>
          <w:rFonts w:ascii="仿宋_GB2312" w:eastAsia="仿宋_GB2312" w:hint="eastAsia"/>
          <w:sz w:val="30"/>
          <w:szCs w:val="30"/>
        </w:rPr>
        <w:t>类游戏的玩法设置本身具有剧情性，即其主要构筑了一个具有丰富内涵的虚拟世界，在该世界里玩家可以体验角色选择、养成宠物、历经成长、开展对战等一系列游戏</w:t>
      </w:r>
      <w:r w:rsidRPr="005874CB">
        <w:rPr>
          <w:rFonts w:ascii="仿宋_GB2312" w:eastAsia="仿宋_GB2312" w:hint="eastAsia"/>
          <w:sz w:val="30"/>
          <w:szCs w:val="30"/>
        </w:rPr>
        <w:lastRenderedPageBreak/>
        <w:t>事件和剧情，获得沉浸式的视听体验，与电影作品的欣赏体验类似。此外，作为手机游戏《太极熊猫》还设置了强制玩家操作的新手引导部分、战斗过程中的自动战斗、自动寻路等游戏强制设定或自动设定，玩家在该些设定中对于游戏的操作度很低，使游戏呈现的画面性质上，更具有类似电影作品特质。故《太极熊猫》游戏运行动态画面整体构成《著作权法》第三条第（六）项规定的类电影作品。</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t>二、《太极熊猫》游戏整体画面中游戏玩法规则的特定呈现方式构成著作权法保护的客体。游戏设计师通过游戏连续动态图像中的游戏界面，将单个游戏系统的具体玩法规则或通过界面内直白的文字形式，或通过连续游戏操作界面对外叙述表达，使玩家在操作游戏过程中清晰感知并据此开展交互操作，具有表达性。在</w:t>
      </w:r>
      <w:r w:rsidRPr="005874CB">
        <w:rPr>
          <w:rFonts w:ascii="仿宋_GB2312" w:eastAsia="仿宋_GB2312"/>
          <w:sz w:val="30"/>
          <w:szCs w:val="30"/>
        </w:rPr>
        <w:t>ARPG</w:t>
      </w:r>
      <w:r w:rsidRPr="005874CB">
        <w:rPr>
          <w:rFonts w:ascii="仿宋_GB2312" w:eastAsia="仿宋_GB2312" w:hint="eastAsia"/>
          <w:sz w:val="30"/>
          <w:szCs w:val="30"/>
        </w:rPr>
        <w:t>类电子游戏中，角色的选择、成长、战斗等玩法设置本身具有叙事性，依托游戏界面呈现的详尽的游戏玩法规则，类似于详细的电影剧情情节。游戏开发过程中通过绘制、设计游戏界面落实游戏规则的表达，与电影创作过程中依据文字剧本绘制分镜头剧本摄制、传达剧情具有一定相似性，以游戏界面设计体现的详细游戏规则，构成了对游戏玩法规则的特定呈现方式，是一种被充分描述的结构，构成作品的表达。此外，在确定著作权保护范围时，应当将不具有独创性的表达部分、有限表达和公有领域的表达内容过滤出保护范围。</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t>三、《花千骨》游戏在游戏玩法规则的特定呈现方式及其选择、安排、组合上整体利用了《太极熊猫》的基本表达，并在此基础上进行美术、音乐、动画、文字等一定内容的再创作，侵害了著作权人享有的改编权。涉案两款</w:t>
      </w:r>
      <w:r w:rsidRPr="005874CB">
        <w:rPr>
          <w:rFonts w:ascii="仿宋_GB2312" w:eastAsia="仿宋_GB2312"/>
          <w:sz w:val="30"/>
          <w:szCs w:val="30"/>
        </w:rPr>
        <w:t>ARPG</w:t>
      </w:r>
      <w:r w:rsidRPr="005874CB">
        <w:rPr>
          <w:rFonts w:ascii="仿宋_GB2312" w:eastAsia="仿宋_GB2312" w:hint="eastAsia"/>
          <w:sz w:val="30"/>
          <w:szCs w:val="30"/>
        </w:rPr>
        <w:t>类手机游戏均具备结构庞大、复杂的玩法系统，认定在后游戏是否实质利用了在先游戏玩法规则的整体表达，应</w:t>
      </w:r>
      <w:r w:rsidRPr="005874CB">
        <w:rPr>
          <w:rFonts w:ascii="仿宋_GB2312" w:eastAsia="仿宋_GB2312" w:hint="eastAsia"/>
          <w:sz w:val="30"/>
          <w:szCs w:val="30"/>
        </w:rPr>
        <w:lastRenderedPageBreak/>
        <w:t>就玩法规则体系进行整体比对，先判断单个玩法系统的特定呈现方式上是否构成相同或实质近似，再看整体游戏架构中对于单个玩法系统的整体选择、安排、组合是否实质相似。整体判断时不仅应当考虑构成实质性相似的单个玩法系统的数量，还应考虑不同玩法系统对于游戏玩赏体验影响程度以及是否属于游戏设计重点、游戏盈利点等因素以综合判断。本案中，《花千骨》游戏结构玩法系统中共计</w:t>
      </w:r>
      <w:r w:rsidRPr="005874CB">
        <w:rPr>
          <w:rFonts w:ascii="仿宋_GB2312" w:eastAsia="仿宋_GB2312"/>
          <w:sz w:val="30"/>
          <w:szCs w:val="30"/>
        </w:rPr>
        <w:t>29</w:t>
      </w:r>
      <w:r w:rsidRPr="005874CB">
        <w:rPr>
          <w:rFonts w:ascii="仿宋_GB2312" w:eastAsia="仿宋_GB2312" w:hint="eastAsia"/>
          <w:sz w:val="30"/>
          <w:szCs w:val="30"/>
        </w:rPr>
        <w:t>个玩法系统在玩法主要界面及次级界面的基本布局相同或者近似，界面传递的详细游戏玩法信息及通过操作游戏所得的玩法规则高度相似。《花千骨》在游戏玩法规则的特定呈现方式及其选择、安排、组合上实质性利用了《太极熊猫》的基本表达。进一步而言，《花千骨》游戏系在利用了原作品玩法规则基本表达的基础上，在美术、音乐、动画等方面进行了一定程度的再创作，侵害了蜗牛公司就原作品享有的改编权。</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t>就承担的民事责任而言，法院认定两被告开发、运营《花千骨》游戏所获的利润已明显超过蜗牛公司主张赔偿数额，在此基础上综合考虑两被告的侵权行为性质、侵权情节等因素，对于蜗牛公司请求两被告连带赔偿</w:t>
      </w:r>
      <w:r w:rsidRPr="005874CB">
        <w:rPr>
          <w:rFonts w:ascii="仿宋_GB2312" w:eastAsia="仿宋_GB2312"/>
          <w:sz w:val="30"/>
          <w:szCs w:val="30"/>
        </w:rPr>
        <w:t>3000</w:t>
      </w:r>
      <w:r w:rsidRPr="005874CB">
        <w:rPr>
          <w:rFonts w:ascii="仿宋_GB2312" w:eastAsia="仿宋_GB2312" w:hint="eastAsia"/>
          <w:sz w:val="30"/>
          <w:szCs w:val="30"/>
        </w:rPr>
        <w:t>万元的诉讼主张予以支持。</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t>一审判决后，天象公司、爱奇艺公司向江苏高院</w:t>
      </w:r>
      <w:r>
        <w:rPr>
          <w:rFonts w:ascii="仿宋_GB2312" w:eastAsia="仿宋_GB2312" w:hint="eastAsia"/>
          <w:sz w:val="30"/>
          <w:szCs w:val="30"/>
        </w:rPr>
        <w:t>提起上诉</w:t>
      </w:r>
      <w:r w:rsidRPr="005874CB">
        <w:rPr>
          <w:rFonts w:ascii="仿宋_GB2312" w:eastAsia="仿宋_GB2312" w:hint="eastAsia"/>
          <w:sz w:val="30"/>
          <w:szCs w:val="30"/>
        </w:rPr>
        <w:t>。</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t>江苏高院二审认为：</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t>一、《太极熊猫》游戏属于著作权法保护的作品</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t>首先，涉案《太极熊猫》游戏属于著作权法所规定的文学、艺术和科学领域内具有独创性的智力成果，应当受著作权法的保护。其次，网络游戏是一个文字、音乐、图片、视频以及特定玩法规则等多元素的集合体，其通过计算机软件程序支持游戏玩法规则的实现和执行。对网络游戏的权利保护可以根据其元素的不同分别从文字作品、美术</w:t>
      </w:r>
      <w:r w:rsidRPr="005874CB">
        <w:rPr>
          <w:rFonts w:ascii="仿宋_GB2312" w:eastAsia="仿宋_GB2312" w:hint="eastAsia"/>
          <w:sz w:val="30"/>
          <w:szCs w:val="30"/>
        </w:rPr>
        <w:lastRenderedPageBreak/>
        <w:t>作品、音乐作品或者计算机软件作品等角度进行，但是这类细分权项的保护只是保护了网络游戏中的某一个元素类别，并不足以实现对具有完整性特征的网络游戏的充分保护和实质保护，这也使得侵权者很容易通过回避、更换整体游戏中某一类别元素的方式来逃避侵权责任。在此情形下，一审法院以包含游戏玩法规则及所有游戏素材的游戏运行整体画面为比对基础，以期实现对网络游戏的整体保护，系在现行法律体系框架内的合理判断，具有相应的事实基础和法律依据。再次，《太极熊猫》游戏的不同角色、角色间的互动、整个游戏的故事情节等内容设计，类似于电影创作过程中的剧本创作；而随着玩家操作形成的整体运行画面，类似于电影在剧本的框架下进行摄制及成像的过程，且玩家操作后呈现的表达亦在游戏开发者设定范围的边界之内。同时，该游戏整体画面包括一系列有伴音或无伴音的游戏画面，可以通过电脑等数字播放设备予以传播。因此，在目前我国著作权法对作品形式采用列举式的情形下，将《太极熊猫》游戏的整体运行画面认定为类似摄制电影的方法创作的作品，并无明显不当。</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t>二、《花千骨》游戏侵害《太极熊猫》游戏著作权</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t>（一）《太极熊猫》游戏中玩法规则的特定呈现方式可以被认定为著作权法保护的客体。著作权法只保护表达，不保护思想，这是著作权法的基本原理，但是这里的“表达”并不仅指“表达形式”，也包括具有独创性的“内容”。如将他人创作的小说作品使用“同义词替换”的方法全部改写一遍，使得两者在表达的具体形式（具体的遣词造句）上完全不同，但是因为两者在“内容”即故事情节、人物、事件发展顺序、人物之间关系上完全一样，因此后者仍构成对前者的著作权侵权。</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lastRenderedPageBreak/>
        <w:t>关于划分“思想”和“表达”的边界问题，以一部小说为例，能归入“思想”范畴的绝不仅仅是这部小说的主题或者中心思想，从作品的每一个细节开始直至无数个细节的并存、连续，再到最终作品向读者传递出可以提炼的中心主题，存在着一步步渐进演绎，由朦胧到清晰、由抽象到具体、由复杂表达到简单表达的过程，类似于一个由低端至顶端的三角形的结构。从三角形低端的每一个字、每一句话、每一段落的文字表达，到三角形顶端的主题思想之间，存在一个不断抽象和概括的过程，这个过程相当于三角形中不断接近顶端的渐渐趋窄的状态，这种状态的变化并非泾渭分明，也接近于三角形中内含着上边线越来越短的无数个梯形结构，直至顶端最终的一个点即中心思想。显然，从底边最为基本的表达到顶端最为清晰的思想，有一个逐渐递进过程，也融入了不同进度、不同程度、不同方式的表达。对于作品而言，虽然思想是可以直接进行表达或者间接进行表达的感知，但作品中属于思想的部分和属于表达的部分往往存在互相交织的情形，并非可以简单定义出一个清晰的分界线。一般而言，对于在先作品和在后作品之间的比较，三角形中顶端以下趋同部分越多，就代表越接近“表达”意义上的侵权。显然，判断侵权与否的分界线并不能划在最底端，否则就意味着只有逐字逐句的抄袭才属于侵犯“表达”的行为，大大缩小了“表达”的应有范围；同样，这条分界线也不能划在最顶端，否则任何比主题思想具体一些的抽象情节均会被认定为“表达”，大大扩大了“表达”的应有范围。如何确定“思想”与“表达”的分界线，仍然需要结合作品的具体情形进行具体判断。</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t>本案中，首先，《太极熊猫》游戏玩法系统设计中的对战、成长、扩展和投放等系统以及对战系统项下的</w:t>
      </w:r>
      <w:r w:rsidRPr="005874CB">
        <w:rPr>
          <w:rFonts w:ascii="仿宋_GB2312" w:eastAsia="仿宋_GB2312"/>
          <w:sz w:val="30"/>
          <w:szCs w:val="30"/>
        </w:rPr>
        <w:t>PVE</w:t>
      </w:r>
      <w:r w:rsidRPr="005874CB">
        <w:rPr>
          <w:rFonts w:ascii="仿宋_GB2312" w:eastAsia="仿宋_GB2312" w:hint="eastAsia"/>
          <w:sz w:val="30"/>
          <w:szCs w:val="30"/>
        </w:rPr>
        <w:t>（玩家与电脑）、</w:t>
      </w:r>
      <w:r w:rsidRPr="005874CB">
        <w:rPr>
          <w:rFonts w:ascii="仿宋_GB2312" w:eastAsia="仿宋_GB2312"/>
          <w:sz w:val="30"/>
          <w:szCs w:val="30"/>
        </w:rPr>
        <w:t xml:space="preserve">PVP </w:t>
      </w:r>
      <w:r w:rsidRPr="005874CB">
        <w:rPr>
          <w:rFonts w:ascii="仿宋_GB2312" w:eastAsia="仿宋_GB2312" w:hint="eastAsia"/>
          <w:sz w:val="30"/>
          <w:szCs w:val="30"/>
        </w:rPr>
        <w:t>（玩</w:t>
      </w:r>
      <w:r w:rsidRPr="005874CB">
        <w:rPr>
          <w:rFonts w:ascii="仿宋_GB2312" w:eastAsia="仿宋_GB2312" w:hint="eastAsia"/>
          <w:sz w:val="30"/>
          <w:szCs w:val="30"/>
        </w:rPr>
        <w:lastRenderedPageBreak/>
        <w:t>家与玩家）对战系统，成长系统项下的主角系统、装备系统、武神系统，扩展系统项下的交互、运营活动、商城系统，投放系统项下的新手引导、功能开启、缤纷礼包、等级限制系统等游戏玩法规则属于具体化、显性化的“思想”部分，不应受著作权法的保护。其次，《太极熊猫》游戏中的“首充”玩法、“投资计划”玩法的界面基本布局以及在主界面设计中出现的下排多为功能区按钮、左右两侧为竖排按钮的布局，在战斗界面设计中出现的左右下方分别为操纵摇杆、技能键的布局等非独创性或属于有限表达和公有领域的表达内容，亦应从蜗牛公司主张的“表达”中排除。在排除上述相关内容之后，《太极熊猫》游戏中剩余的界面基本布局、界面具体内容均由蜗牛公司独立设计，且通过界面内直白的文字形式或游戏操作界面的连续展示，实现了将部分游戏具体玩法规则的对外叙述表达，网络游戏玩家通过这些具有独创性的界面布局、界面文字、界面交互，可以了解到蜗牛公司在《太极熊猫》游戏中所设计的特定玩法规则及其运行体验。因此该部分的界面布局和界面内容可以看作是对游戏具体玩法规则的特定呈现方式，构成著作权法中的“表达”。以一审法院比对的玩法</w:t>
      </w:r>
      <w:r w:rsidRPr="005874CB">
        <w:rPr>
          <w:rFonts w:ascii="仿宋_GB2312" w:eastAsia="仿宋_GB2312"/>
          <w:sz w:val="30"/>
          <w:szCs w:val="30"/>
        </w:rPr>
        <w:t>31</w:t>
      </w:r>
      <w:r w:rsidRPr="005874CB">
        <w:rPr>
          <w:rFonts w:ascii="仿宋_GB2312" w:eastAsia="仿宋_GB2312" w:hint="eastAsia"/>
          <w:sz w:val="30"/>
          <w:szCs w:val="30"/>
        </w:rPr>
        <w:t>“炼星”为例，该规则中包括了具体的触发条件、道具数量、界面布局、操作流程等，已经具体细化到了一定的程度，故其可以被认定为具有独创性的受著作权法保护的“表达”。《花千骨》游戏在这一玩法上与《太极熊猫》相比，除了界面图形以及部分道具名称存在不同，大部分内容构成实质性相似，已经超出了创作“巧合”的空间，可以认定两者虽然在“表达形式”上存在部分不同，但是在“表达内容”上构成实质性相似。</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t>此外，需进一步说明的是，除了考虑上述蜗牛公司具有独创性的</w:t>
      </w:r>
      <w:r w:rsidRPr="005874CB">
        <w:rPr>
          <w:rFonts w:ascii="仿宋_GB2312" w:eastAsia="仿宋_GB2312" w:hint="eastAsia"/>
          <w:sz w:val="30"/>
          <w:szCs w:val="30"/>
        </w:rPr>
        <w:lastRenderedPageBreak/>
        <w:t>界面布局、文字、交互等设计之外，蜗牛公司对其他公有领域、有限表达等要素所进行的选择、排列、组合所构成的新的界面布局或具体玩法规则的特定呈现，如果已经可以达到区别于其他游戏的创作性特征，则其也可以被认定为具有独创性的“表达”。</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t>（二）依据现有证据，可以认定《花千骨》游戏实施了对《太极熊猫》游戏的“换皮”抄袭。“换皮”抄袭一般是指在后游戏使用与在先游戏不同的</w:t>
      </w:r>
      <w:r w:rsidRPr="005874CB">
        <w:rPr>
          <w:rFonts w:ascii="仿宋_GB2312" w:eastAsia="仿宋_GB2312"/>
          <w:sz w:val="30"/>
          <w:szCs w:val="30"/>
        </w:rPr>
        <w:t>IP</w:t>
      </w:r>
      <w:r w:rsidRPr="005874CB">
        <w:rPr>
          <w:rFonts w:ascii="仿宋_GB2312" w:eastAsia="仿宋_GB2312" w:hint="eastAsia"/>
          <w:sz w:val="30"/>
          <w:szCs w:val="30"/>
        </w:rPr>
        <w:t>形象、音乐等元素，而在玩法规则、数值策划、技能体系、操作界面等方面完全与在先游戏相同或者实质性相似。由于玩法规则、数值策划、技能体系、操作界面是一款游戏的核心内容，因此其可以实现与在先游戏在操作习惯、用户体验等方面的一致。同时，通过对在先游戏的“换皮”抄袭，可以大量减少游戏的开发成本投入，缩短游戏的开发周期。本案中，蜗牛公司提交的大量证据已经可以证明，《花千骨》游戏实施了对《太极熊猫》游戏的“换皮”抄袭。</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t>（三）《花千骨》游戏实质上利用了《太极熊猫》游戏中玩法规则的特定表达内容，构成著作权侵权。首先，一审法院认定需要保护的《太极熊猫》游戏中玩法规则的特定呈现方式仍属于“表达内容”的层级，故其并不属于“思想”的范畴，可以受著作权法保护。其次，天象公司二审所举证据中不同游戏的规则及界面比对，均仍处于较高的抽象层级，并未细分至某些特定的具体的玩法规则的详细呈现方式，且其比对的界面内容亦较少，不能达到其证明目的。再次，游戏玩法规则在游戏中的表达，涉及到游戏整体结构、游戏界面的布局、内容、交互以及装备数值、技能体系的策划等多个方面，其并不是仅涉及游戏的交互性，在故事性、艺术性方面也会有所涉及。最后，一款网络游戏的设计，其游戏结构、玩法规则、数值策划、技能体系、界面布</w:t>
      </w:r>
      <w:r w:rsidRPr="005874CB">
        <w:rPr>
          <w:rFonts w:ascii="仿宋_GB2312" w:eastAsia="仿宋_GB2312" w:hint="eastAsia"/>
          <w:sz w:val="30"/>
          <w:szCs w:val="30"/>
        </w:rPr>
        <w:lastRenderedPageBreak/>
        <w:t>局及交互等设计属于整个游戏设计中的核心内容，相当于游戏的骨架，而游戏角色形象、配音配乐等内容则属于形象设计，相当于游戏的皮肤或者衣服，所以行业内才将只更换</w:t>
      </w:r>
      <w:r w:rsidRPr="005874CB">
        <w:rPr>
          <w:rFonts w:ascii="仿宋_GB2312" w:eastAsia="仿宋_GB2312"/>
          <w:sz w:val="30"/>
          <w:szCs w:val="30"/>
        </w:rPr>
        <w:t>IP</w:t>
      </w:r>
      <w:r w:rsidRPr="005874CB">
        <w:rPr>
          <w:rFonts w:ascii="仿宋_GB2312" w:eastAsia="仿宋_GB2312" w:hint="eastAsia"/>
          <w:sz w:val="30"/>
          <w:szCs w:val="30"/>
        </w:rPr>
        <w:t>形象、音乐等元素而在玩法规则、数值策划、技能体系、操作界面等方面实质相似的行为称呼为“换皮”抄袭。涉案《花千骨》游戏在对战副本、角色技能、装备及武神（灵宠）系统等</w:t>
      </w:r>
      <w:r w:rsidRPr="005874CB">
        <w:rPr>
          <w:rFonts w:ascii="仿宋_GB2312" w:eastAsia="仿宋_GB2312"/>
          <w:sz w:val="30"/>
          <w:szCs w:val="30"/>
        </w:rPr>
        <w:t>ARPG</w:t>
      </w:r>
      <w:r w:rsidRPr="005874CB">
        <w:rPr>
          <w:rFonts w:ascii="仿宋_GB2312" w:eastAsia="仿宋_GB2312" w:hint="eastAsia"/>
          <w:sz w:val="30"/>
          <w:szCs w:val="30"/>
        </w:rPr>
        <w:t>游戏的核心玩法上与《太极熊猫》游戏存在诸多实质性相似之处，且在部分细节上存在的雷同，远远超出了创作巧合的可能性，故可以认定《花千骨》游戏对《太极熊猫》游戏的具体玩法规则所涉及的特定表达进行了整体照搬和复制，构成著作权侵权。虽然《花千骨》游戏在</w:t>
      </w:r>
      <w:r w:rsidRPr="005874CB">
        <w:rPr>
          <w:rFonts w:ascii="仿宋_GB2312" w:eastAsia="仿宋_GB2312"/>
          <w:sz w:val="30"/>
          <w:szCs w:val="30"/>
        </w:rPr>
        <w:t>IP</w:t>
      </w:r>
      <w:r w:rsidRPr="005874CB">
        <w:rPr>
          <w:rFonts w:ascii="仿宋_GB2312" w:eastAsia="仿宋_GB2312" w:hint="eastAsia"/>
          <w:sz w:val="30"/>
          <w:szCs w:val="30"/>
        </w:rPr>
        <w:t>形象、音乐、故事情节等方面与《太极熊猫》游戏不同，但是这并不能改变其在某些特定核心玩法上对《太极熊猫》游戏进行抄袭的侵权认定，一审法院将其更换游戏</w:t>
      </w:r>
      <w:r w:rsidRPr="005874CB">
        <w:rPr>
          <w:rFonts w:ascii="仿宋_GB2312" w:eastAsia="仿宋_GB2312"/>
          <w:sz w:val="30"/>
          <w:szCs w:val="30"/>
        </w:rPr>
        <w:t>IP</w:t>
      </w:r>
      <w:r w:rsidRPr="005874CB">
        <w:rPr>
          <w:rFonts w:ascii="仿宋_GB2312" w:eastAsia="仿宋_GB2312" w:hint="eastAsia"/>
          <w:sz w:val="30"/>
          <w:szCs w:val="30"/>
        </w:rPr>
        <w:t>形象、音乐、故事情节的行为认定为侵犯《太极熊猫》游戏的改编权，具有相应的事实和法律依据。</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t>三、关于一审法院确定的赔偿额是否适当的问题</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t>首先，本案一审阶段至二审审理期间，天象公司与爱奇艺公司未向法院提交任何证据证明涉案游戏的收入，不能将双方间的资金往来全部认定为涉案《花千骨》游戏的收入。其次，一审法院根据双方增值税发票计算得出的游戏总分成收入是</w:t>
      </w:r>
      <w:r w:rsidRPr="005874CB">
        <w:rPr>
          <w:rFonts w:ascii="仿宋_GB2312" w:eastAsia="仿宋_GB2312"/>
          <w:sz w:val="30"/>
          <w:szCs w:val="30"/>
        </w:rPr>
        <w:t>231156634.2</w:t>
      </w:r>
      <w:r w:rsidRPr="005874CB">
        <w:rPr>
          <w:rFonts w:ascii="仿宋_GB2312" w:eastAsia="仿宋_GB2312" w:hint="eastAsia"/>
          <w:sz w:val="30"/>
          <w:szCs w:val="30"/>
        </w:rPr>
        <w:t>元，该收入数额远低于根据蜗牛公司二审提交的《宁波富邦精业集团股份有限公司发行股份及支付现金购买资产并募集配套资金暨关联交易预案》（修订稿）所推算出的各方分成数额，且一审法院考量的利润率</w:t>
      </w:r>
      <w:r w:rsidRPr="005874CB">
        <w:rPr>
          <w:rFonts w:ascii="仿宋_GB2312" w:eastAsia="仿宋_GB2312"/>
          <w:sz w:val="30"/>
          <w:szCs w:val="30"/>
        </w:rPr>
        <w:t>13.9%</w:t>
      </w:r>
      <w:r w:rsidRPr="005874CB">
        <w:rPr>
          <w:rFonts w:ascii="仿宋_GB2312" w:eastAsia="仿宋_GB2312" w:hint="eastAsia"/>
          <w:sz w:val="30"/>
          <w:szCs w:val="30"/>
        </w:rPr>
        <w:t>亦是已经扣除了</w:t>
      </w:r>
      <w:r w:rsidRPr="005874CB">
        <w:rPr>
          <w:rFonts w:ascii="仿宋_GB2312" w:eastAsia="仿宋_GB2312"/>
          <w:sz w:val="30"/>
          <w:szCs w:val="30"/>
        </w:rPr>
        <w:t>IP</w:t>
      </w:r>
      <w:r w:rsidRPr="005874CB">
        <w:rPr>
          <w:rFonts w:ascii="仿宋_GB2312" w:eastAsia="仿宋_GB2312" w:hint="eastAsia"/>
          <w:sz w:val="30"/>
          <w:szCs w:val="30"/>
        </w:rPr>
        <w:t>方的分成成本以及研发方的分成成本、服务器成本、期间费用及所得税金额等成本，在此基础上计算得出的利润仍超过</w:t>
      </w:r>
      <w:r w:rsidRPr="005874CB">
        <w:rPr>
          <w:rFonts w:ascii="仿宋_GB2312" w:eastAsia="仿宋_GB2312"/>
          <w:sz w:val="30"/>
          <w:szCs w:val="30"/>
        </w:rPr>
        <w:t>3000</w:t>
      </w:r>
      <w:r w:rsidRPr="005874CB">
        <w:rPr>
          <w:rFonts w:ascii="仿宋_GB2312" w:eastAsia="仿宋_GB2312" w:hint="eastAsia"/>
          <w:sz w:val="30"/>
          <w:szCs w:val="30"/>
        </w:rPr>
        <w:lastRenderedPageBreak/>
        <w:t>万元；另一方面，正是因为天象公司、爱奇艺公司实施了前述的改编侵权行为，才使得其可以缩短研发周期，在同名电视剧热播期间同步推出《花千骨》手游，侵权恶意明显。在此情形下，一审法院根据查明的双方间总收入分成，并结合其他查明事实以及侵权行为的性质、情节等因素，酌情确定</w:t>
      </w:r>
      <w:r w:rsidRPr="005874CB">
        <w:rPr>
          <w:rFonts w:ascii="仿宋_GB2312" w:eastAsia="仿宋_GB2312"/>
          <w:sz w:val="30"/>
          <w:szCs w:val="30"/>
        </w:rPr>
        <w:t>3000</w:t>
      </w:r>
      <w:r w:rsidRPr="005874CB">
        <w:rPr>
          <w:rFonts w:ascii="仿宋_GB2312" w:eastAsia="仿宋_GB2312" w:hint="eastAsia"/>
          <w:sz w:val="30"/>
          <w:szCs w:val="30"/>
        </w:rPr>
        <w:t>万元的赔偿额，并无明显过高。</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t>综上，二审法院对一审判决予以维持。</w:t>
      </w:r>
    </w:p>
    <w:p w:rsidR="00D906DC" w:rsidRPr="005874CB" w:rsidRDefault="00D906DC" w:rsidP="005F3E79">
      <w:pPr>
        <w:adjustRightInd w:val="0"/>
        <w:snapToGrid w:val="0"/>
        <w:spacing w:line="520" w:lineRule="exact"/>
        <w:ind w:firstLineChars="200" w:firstLine="602"/>
        <w:rPr>
          <w:rFonts w:ascii="仿宋_GB2312" w:eastAsia="仿宋_GB2312"/>
          <w:b/>
          <w:bCs/>
          <w:sz w:val="30"/>
          <w:szCs w:val="30"/>
        </w:rPr>
      </w:pPr>
      <w:r w:rsidRPr="005874CB">
        <w:rPr>
          <w:rFonts w:ascii="仿宋_GB2312" w:eastAsia="仿宋_GB2312" w:hint="eastAsia"/>
          <w:b/>
          <w:bCs/>
          <w:sz w:val="30"/>
          <w:szCs w:val="30"/>
        </w:rPr>
        <w:t>【典型意义】</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t>本案是我国首例通过判决明确网络游戏中玩法规则的特定呈现方式，可以获得著作权法保护，“换皮”抄袭系著作权侵权的一种方式。本案对此种侵权行为判决</w:t>
      </w:r>
      <w:r w:rsidRPr="005874CB">
        <w:rPr>
          <w:rFonts w:ascii="仿宋_GB2312" w:eastAsia="仿宋_GB2312"/>
          <w:sz w:val="30"/>
          <w:szCs w:val="30"/>
        </w:rPr>
        <w:t>3000</w:t>
      </w:r>
      <w:r w:rsidRPr="005874CB">
        <w:rPr>
          <w:rFonts w:ascii="仿宋_GB2312" w:eastAsia="仿宋_GB2312" w:hint="eastAsia"/>
          <w:sz w:val="30"/>
          <w:szCs w:val="30"/>
        </w:rPr>
        <w:t>万元的高赔偿额。判决后，在业内引起广泛反响。本案判决的</w:t>
      </w:r>
      <w:r>
        <w:rPr>
          <w:rFonts w:ascii="仿宋_GB2312" w:eastAsia="仿宋_GB2312" w:hint="eastAsia"/>
          <w:sz w:val="30"/>
          <w:szCs w:val="30"/>
        </w:rPr>
        <w:t>典型性</w:t>
      </w:r>
      <w:r w:rsidRPr="005874CB">
        <w:rPr>
          <w:rFonts w:ascii="仿宋_GB2312" w:eastAsia="仿宋_GB2312" w:hint="eastAsia"/>
          <w:sz w:val="30"/>
          <w:szCs w:val="30"/>
        </w:rPr>
        <w:t>在于：</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sz w:val="30"/>
          <w:szCs w:val="30"/>
        </w:rPr>
        <w:t>1.</w:t>
      </w:r>
      <w:r w:rsidRPr="005874CB">
        <w:rPr>
          <w:rFonts w:ascii="仿宋_GB2312" w:eastAsia="仿宋_GB2312" w:hint="eastAsia"/>
          <w:sz w:val="30"/>
          <w:szCs w:val="30"/>
        </w:rPr>
        <w:t>详细阐述了“思想”与“表达”的划分，明确著作权法保护的“表达”，不仅指“表达形式”，还包括具有独创性的“表达内容”。判决以实例和三角模型对“思想”与“表达”的分界线作了详细、形象化释述，并强调对于“思想”与“表达”的分界不宜机械理解，当作品的内容已经通过创作呈现为作品的具体表达时，就已经属于著作权法保护的作品“表达”的范畴。确定“思想”与“表达”的分界线，需要结合作品的具体情形具体判断。</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sz w:val="30"/>
          <w:szCs w:val="30"/>
        </w:rPr>
        <w:t>2.</w:t>
      </w:r>
      <w:r w:rsidRPr="005874CB">
        <w:rPr>
          <w:rFonts w:ascii="仿宋_GB2312" w:eastAsia="仿宋_GB2312" w:hint="eastAsia"/>
          <w:sz w:val="30"/>
          <w:szCs w:val="30"/>
        </w:rPr>
        <w:t>创新了游戏作品著作权保护思路，明确网络游戏中玩法规则的特定呈现方式，可以作为著作权法保护对象，“换皮”抄袭构成侵权。对网络游戏作品权利保护的传统裁判思路，一般是根据其元素的不同分别从文字作品、美术作品、音乐作品或者计算机软件作品等角度进行，但是这类细分权项的保护只是保护了网络游戏中的某一个元素类别，并不足以实现对具有完整性特征的网络游戏的充分保护和实质保</w:t>
      </w:r>
      <w:r w:rsidRPr="005874CB">
        <w:rPr>
          <w:rFonts w:ascii="仿宋_GB2312" w:eastAsia="仿宋_GB2312" w:hint="eastAsia"/>
          <w:sz w:val="30"/>
          <w:szCs w:val="30"/>
        </w:rPr>
        <w:lastRenderedPageBreak/>
        <w:t>护，导致发生“换皮”抄袭以逃避法律规制。判决明确，网络游戏通过具有独创性的界面布局、文字、交互等设计，以及对其他公有领域、有限表达等要素的选择、排列、组合所构成的新的界面布局、文字、交互等设计，实现了对游戏具体玩法规则的特定呈现方式。如果该特定呈现方式已经可以达到区别于其他游戏的创作性特征，则可以被认定为著作权法保护的具有独创性的“表达”范畴。这样可以实现对网络游戏作品的整体保护。</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t>同时明确，玩法规则、数值策划、技能体系、操作界面等是游戏的核心内容。“换皮”抄袭一般是指在后游戏使用与在先游戏不同的角色图片形象、音乐等元素，而在玩法规则、数值策划、技能体系、操作界面等方面与在先游戏相同或者实质性相似。对在先游戏的“换皮”抄袭，可以大大减少开发游戏成本投入，缩短开发周期。使用“换皮”抄袭手段应当被认定为著作权侵权。</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sz w:val="30"/>
          <w:szCs w:val="30"/>
        </w:rPr>
        <w:t>3.</w:t>
      </w:r>
      <w:r w:rsidRPr="005874CB">
        <w:rPr>
          <w:rFonts w:ascii="仿宋_GB2312" w:eastAsia="仿宋_GB2312" w:hint="eastAsia"/>
          <w:sz w:val="30"/>
          <w:szCs w:val="30"/>
        </w:rPr>
        <w:t>全额支持了蜗牛公司</w:t>
      </w:r>
      <w:r w:rsidRPr="005874CB">
        <w:rPr>
          <w:rFonts w:ascii="仿宋_GB2312" w:eastAsia="仿宋_GB2312"/>
          <w:sz w:val="30"/>
          <w:szCs w:val="30"/>
        </w:rPr>
        <w:t>3000</w:t>
      </w:r>
      <w:r w:rsidRPr="005874CB">
        <w:rPr>
          <w:rFonts w:ascii="仿宋_GB2312" w:eastAsia="仿宋_GB2312" w:hint="eastAsia"/>
          <w:sz w:val="30"/>
          <w:szCs w:val="30"/>
        </w:rPr>
        <w:t>万元</w:t>
      </w:r>
      <w:r>
        <w:rPr>
          <w:rFonts w:ascii="仿宋_GB2312" w:eastAsia="仿宋_GB2312" w:hint="eastAsia"/>
          <w:sz w:val="30"/>
          <w:szCs w:val="30"/>
        </w:rPr>
        <w:t>赔偿</w:t>
      </w:r>
      <w:r w:rsidRPr="005874CB">
        <w:rPr>
          <w:rFonts w:ascii="仿宋_GB2312" w:eastAsia="仿宋_GB2312" w:hint="eastAsia"/>
          <w:sz w:val="30"/>
          <w:szCs w:val="30"/>
        </w:rPr>
        <w:t>的诉讼主张，体现了最严格保护知识产权的裁判理念。一、二审法院经过详细调查，确定了双方间总收入分成及合理利润率，同时考虑到侵权人实施前述“换皮”抄袭，并在同名电视剧热播期间同步推出</w:t>
      </w:r>
      <w:r>
        <w:rPr>
          <w:rFonts w:ascii="仿宋_GB2312" w:eastAsia="仿宋_GB2312" w:hint="eastAsia"/>
          <w:sz w:val="30"/>
          <w:szCs w:val="30"/>
        </w:rPr>
        <w:t>“</w:t>
      </w:r>
      <w:r w:rsidRPr="005874CB">
        <w:rPr>
          <w:rFonts w:ascii="仿宋_GB2312" w:eastAsia="仿宋_GB2312" w:hint="eastAsia"/>
          <w:sz w:val="30"/>
          <w:szCs w:val="30"/>
        </w:rPr>
        <w:t>花千骨</w:t>
      </w:r>
      <w:r>
        <w:rPr>
          <w:rFonts w:ascii="仿宋_GB2312" w:eastAsia="仿宋_GB2312" w:hint="eastAsia"/>
          <w:sz w:val="30"/>
          <w:szCs w:val="30"/>
        </w:rPr>
        <w:t>”</w:t>
      </w:r>
      <w:r w:rsidRPr="005874CB">
        <w:rPr>
          <w:rFonts w:ascii="仿宋_GB2312" w:eastAsia="仿宋_GB2312" w:hint="eastAsia"/>
          <w:sz w:val="30"/>
          <w:szCs w:val="30"/>
        </w:rPr>
        <w:t>手游，侵权恶意明显，侵权情节严重，遂酌情确定</w:t>
      </w:r>
      <w:r w:rsidRPr="005874CB">
        <w:rPr>
          <w:rFonts w:ascii="仿宋_GB2312" w:eastAsia="仿宋_GB2312"/>
          <w:sz w:val="30"/>
          <w:szCs w:val="30"/>
        </w:rPr>
        <w:t>3000</w:t>
      </w:r>
      <w:r w:rsidRPr="005874CB">
        <w:rPr>
          <w:rFonts w:ascii="仿宋_GB2312" w:eastAsia="仿宋_GB2312" w:hint="eastAsia"/>
          <w:sz w:val="30"/>
          <w:szCs w:val="30"/>
        </w:rPr>
        <w:t>万元的赔偿额</w:t>
      </w:r>
      <w:r>
        <w:rPr>
          <w:rFonts w:ascii="仿宋_GB2312" w:eastAsia="仿宋_GB2312" w:hint="eastAsia"/>
          <w:sz w:val="30"/>
          <w:szCs w:val="30"/>
        </w:rPr>
        <w:t>，对侵权行为带有一定的惩罚性</w:t>
      </w:r>
      <w:r w:rsidRPr="005874CB">
        <w:rPr>
          <w:rFonts w:ascii="仿宋_GB2312" w:eastAsia="仿宋_GB2312" w:hint="eastAsia"/>
          <w:sz w:val="30"/>
          <w:szCs w:val="30"/>
        </w:rPr>
        <w:t>。</w:t>
      </w:r>
    </w:p>
    <w:p w:rsidR="00D906DC" w:rsidRDefault="00D906DC" w:rsidP="005F3E79">
      <w:pPr>
        <w:adjustRightInd w:val="0"/>
        <w:snapToGrid w:val="0"/>
        <w:spacing w:line="520" w:lineRule="exact"/>
        <w:ind w:firstLineChars="200" w:firstLine="600"/>
        <w:rPr>
          <w:rFonts w:ascii="仿宋_GB2312" w:eastAsia="仿宋_GB2312"/>
          <w:sz w:val="30"/>
          <w:szCs w:val="30"/>
        </w:rPr>
      </w:pPr>
      <w:r w:rsidRPr="005874CB">
        <w:rPr>
          <w:rFonts w:ascii="仿宋_GB2312" w:eastAsia="仿宋_GB2312" w:hint="eastAsia"/>
          <w:sz w:val="30"/>
          <w:szCs w:val="30"/>
        </w:rPr>
        <w:t>近年来，我国网络游戏产业发展迅猛。至</w:t>
      </w:r>
      <w:r w:rsidRPr="005874CB">
        <w:rPr>
          <w:rFonts w:ascii="仿宋_GB2312" w:eastAsia="仿宋_GB2312"/>
          <w:sz w:val="30"/>
          <w:szCs w:val="30"/>
        </w:rPr>
        <w:t>2019</w:t>
      </w:r>
      <w:r w:rsidRPr="005874CB">
        <w:rPr>
          <w:rFonts w:ascii="仿宋_GB2312" w:eastAsia="仿宋_GB2312" w:hint="eastAsia"/>
          <w:sz w:val="30"/>
          <w:szCs w:val="30"/>
        </w:rPr>
        <w:t>年，我国游戏用户规模已达</w:t>
      </w:r>
      <w:r w:rsidRPr="005874CB">
        <w:rPr>
          <w:rFonts w:ascii="仿宋_GB2312" w:eastAsia="仿宋_GB2312"/>
          <w:sz w:val="30"/>
          <w:szCs w:val="30"/>
        </w:rPr>
        <w:t>6.2</w:t>
      </w:r>
      <w:r w:rsidRPr="005874CB">
        <w:rPr>
          <w:rFonts w:ascii="仿宋_GB2312" w:eastAsia="仿宋_GB2312" w:hint="eastAsia"/>
          <w:sz w:val="30"/>
          <w:szCs w:val="30"/>
        </w:rPr>
        <w:t>亿人，游戏行业实际销售收入达到</w:t>
      </w:r>
      <w:r w:rsidRPr="005874CB">
        <w:rPr>
          <w:rFonts w:ascii="仿宋_GB2312" w:eastAsia="仿宋_GB2312"/>
          <w:sz w:val="30"/>
          <w:szCs w:val="30"/>
        </w:rPr>
        <w:t>2308.1</w:t>
      </w:r>
      <w:r w:rsidRPr="005874CB">
        <w:rPr>
          <w:rFonts w:ascii="仿宋_GB2312" w:eastAsia="仿宋_GB2312" w:hint="eastAsia"/>
          <w:sz w:val="30"/>
          <w:szCs w:val="30"/>
        </w:rPr>
        <w:t>亿元</w:t>
      </w:r>
      <w:r w:rsidRPr="005874CB">
        <w:rPr>
          <w:rFonts w:ascii="仿宋_GB2312" w:eastAsia="仿宋_GB2312"/>
          <w:sz w:val="30"/>
          <w:szCs w:val="30"/>
        </w:rPr>
        <w:t>,</w:t>
      </w:r>
      <w:r w:rsidRPr="005874CB">
        <w:rPr>
          <w:rFonts w:ascii="仿宋_GB2312" w:eastAsia="仿宋_GB2312" w:hint="eastAsia"/>
          <w:sz w:val="30"/>
          <w:szCs w:val="30"/>
        </w:rPr>
        <w:t>同比增长</w:t>
      </w:r>
      <w:r w:rsidRPr="005874CB">
        <w:rPr>
          <w:rFonts w:ascii="仿宋_GB2312" w:eastAsia="仿宋_GB2312"/>
          <w:sz w:val="30"/>
          <w:szCs w:val="30"/>
        </w:rPr>
        <w:t>7.7%</w:t>
      </w:r>
      <w:r w:rsidRPr="005874CB">
        <w:rPr>
          <w:rFonts w:ascii="仿宋_GB2312" w:eastAsia="仿宋_GB2312" w:hint="eastAsia"/>
          <w:sz w:val="30"/>
          <w:szCs w:val="30"/>
        </w:rPr>
        <w:t>。在此情形下，网络游戏作品的知识产权价值越来越高，侵权手段也越来越隐蔽。本案判决对网络游戏知识产权保护作了有益研究与探索，是对当前网络游戏技术发展的积极回应，对推动网络游戏产</w:t>
      </w:r>
      <w:r w:rsidRPr="005874CB">
        <w:rPr>
          <w:rFonts w:ascii="仿宋_GB2312" w:eastAsia="仿宋_GB2312" w:hint="eastAsia"/>
          <w:sz w:val="30"/>
          <w:szCs w:val="30"/>
        </w:rPr>
        <w:lastRenderedPageBreak/>
        <w:t>业的健康发展具有重要意义。</w:t>
      </w:r>
    </w:p>
    <w:p w:rsidR="00D906DC" w:rsidRPr="005874CB" w:rsidRDefault="00D906DC" w:rsidP="005F3E79">
      <w:pPr>
        <w:adjustRightInd w:val="0"/>
        <w:snapToGrid w:val="0"/>
        <w:spacing w:line="520" w:lineRule="exact"/>
        <w:ind w:firstLineChars="200" w:firstLine="600"/>
        <w:rPr>
          <w:rFonts w:ascii="仿宋_GB2312" w:eastAsia="仿宋_GB2312"/>
          <w:sz w:val="30"/>
          <w:szCs w:val="30"/>
        </w:rPr>
      </w:pPr>
    </w:p>
    <w:p w:rsidR="00D906DC" w:rsidRDefault="00D906DC" w:rsidP="005F3E79">
      <w:pPr>
        <w:adjustRightInd w:val="0"/>
        <w:snapToGrid w:val="0"/>
        <w:spacing w:line="520" w:lineRule="exact"/>
        <w:ind w:right="301" w:firstLineChars="200" w:firstLine="600"/>
        <w:rPr>
          <w:rFonts w:ascii="仿宋_GB2312" w:eastAsia="仿宋_GB2312"/>
          <w:sz w:val="30"/>
          <w:szCs w:val="30"/>
        </w:rPr>
      </w:pPr>
      <w:r w:rsidRPr="00A6400D">
        <w:rPr>
          <w:rFonts w:ascii="仿宋_GB2312" w:eastAsia="仿宋_GB2312" w:hint="eastAsia"/>
          <w:sz w:val="30"/>
          <w:szCs w:val="30"/>
        </w:rPr>
        <w:t>附件</w:t>
      </w:r>
      <w:r>
        <w:rPr>
          <w:rFonts w:ascii="仿宋_GB2312" w:eastAsia="仿宋_GB2312" w:hint="eastAsia"/>
          <w:sz w:val="30"/>
          <w:szCs w:val="30"/>
        </w:rPr>
        <w:t>一</w:t>
      </w:r>
      <w:r w:rsidRPr="00A6400D">
        <w:rPr>
          <w:rFonts w:ascii="仿宋_GB2312" w:eastAsia="仿宋_GB2312" w:hint="eastAsia"/>
          <w:sz w:val="30"/>
          <w:szCs w:val="30"/>
        </w:rPr>
        <w:t>：</w:t>
      </w:r>
      <w:r>
        <w:rPr>
          <w:rFonts w:ascii="仿宋_GB2312" w:eastAsia="仿宋_GB2312" w:hint="eastAsia"/>
          <w:sz w:val="30"/>
          <w:szCs w:val="30"/>
        </w:rPr>
        <w:t>部分游戏界面截图对比（</w:t>
      </w:r>
      <w:r w:rsidRPr="00A6400D">
        <w:rPr>
          <w:rFonts w:ascii="仿宋_GB2312" w:eastAsia="仿宋_GB2312" w:hint="eastAsia"/>
          <w:sz w:val="30"/>
          <w:szCs w:val="30"/>
        </w:rPr>
        <w:t>左为《太极熊猫》截图，右为《花千骨</w:t>
      </w:r>
      <w:r>
        <w:rPr>
          <w:rFonts w:ascii="仿宋_GB2312" w:eastAsia="仿宋_GB2312" w:hint="eastAsia"/>
          <w:sz w:val="30"/>
          <w:szCs w:val="30"/>
        </w:rPr>
        <w:t>》</w:t>
      </w:r>
      <w:r w:rsidRPr="00A6400D">
        <w:rPr>
          <w:rFonts w:ascii="仿宋_GB2312" w:eastAsia="仿宋_GB2312" w:hint="eastAsia"/>
          <w:sz w:val="30"/>
          <w:szCs w:val="30"/>
        </w:rPr>
        <w:t>截图</w:t>
      </w:r>
      <w:r>
        <w:rPr>
          <w:rFonts w:ascii="仿宋_GB2312" w:eastAsia="仿宋_GB2312" w:hint="eastAsia"/>
          <w:sz w:val="30"/>
          <w:szCs w:val="30"/>
        </w:rPr>
        <w:t>）</w:t>
      </w:r>
    </w:p>
    <w:p w:rsidR="00D906DC" w:rsidRDefault="008E3AEC" w:rsidP="00E711DA">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51" o:spid="_x0000_i1025" type="#_x0000_t75" alt="太极熊猫主界面截图" style="width:3in;height:149.6pt;visibility:visible">
            <v:imagedata r:id="rId10" o:title=""/>
          </v:shape>
        </w:pict>
      </w:r>
      <w:r>
        <w:rPr>
          <w:noProof/>
        </w:rPr>
        <w:pict>
          <v:shape id="图片 53" o:spid="_x0000_i1026" type="#_x0000_t75" style="width:222.55pt;height:147.75pt;visibility:visible">
            <v:imagedata r:id="rId11" o:title=""/>
          </v:shape>
        </w:pict>
      </w:r>
    </w:p>
    <w:p w:rsidR="00D906DC" w:rsidRDefault="00D906DC" w:rsidP="00E711DA">
      <w:pPr>
        <w:adjustRightInd w:val="0"/>
        <w:snapToGrid w:val="0"/>
        <w:spacing w:line="520" w:lineRule="exact"/>
        <w:jc w:val="center"/>
        <w:rPr>
          <w:rFonts w:ascii="仿宋_GB2312" w:eastAsia="仿宋_GB2312"/>
          <w:sz w:val="30"/>
          <w:szCs w:val="30"/>
        </w:rPr>
      </w:pPr>
      <w:r w:rsidRPr="00A6400D">
        <w:rPr>
          <w:rFonts w:ascii="仿宋_GB2312" w:eastAsia="仿宋_GB2312" w:hint="eastAsia"/>
          <w:sz w:val="30"/>
          <w:szCs w:val="30"/>
        </w:rPr>
        <w:t>对比一：主界面</w:t>
      </w:r>
    </w:p>
    <w:p w:rsidR="00D906DC" w:rsidRDefault="008E3AEC" w:rsidP="00E711DA">
      <w:r w:rsidRPr="008906E9">
        <w:rPr>
          <w:rFonts w:ascii="仿宋_GB2312" w:eastAsia="仿宋_GB2312"/>
          <w:noProof/>
          <w:sz w:val="32"/>
          <w:szCs w:val="32"/>
        </w:rPr>
        <w:pict>
          <v:shape id="_x0000_i1027" type="#_x0000_t75" style="width:212.25pt;height:149.6pt;visibility:visible">
            <v:imagedata r:id="rId12" o:title=""/>
          </v:shape>
        </w:pict>
      </w:r>
      <w:r>
        <w:rPr>
          <w:noProof/>
        </w:rPr>
        <w:pict>
          <v:shape id="图片 17" o:spid="_x0000_i1028" type="#_x0000_t75" style="width:212.25pt;height:149.6pt;visibility:visible">
            <v:imagedata r:id="rId13" o:title=""/>
          </v:shape>
        </w:pict>
      </w:r>
    </w:p>
    <w:p w:rsidR="00D906DC" w:rsidRDefault="00D906DC" w:rsidP="00E711DA">
      <w:pPr>
        <w:adjustRightInd w:val="0"/>
        <w:snapToGrid w:val="0"/>
        <w:spacing w:line="336" w:lineRule="auto"/>
        <w:jc w:val="center"/>
      </w:pPr>
      <w:r>
        <w:rPr>
          <w:rFonts w:ascii="仿宋_GB2312" w:eastAsia="仿宋_GB2312" w:hint="eastAsia"/>
          <w:sz w:val="32"/>
          <w:szCs w:val="32"/>
        </w:rPr>
        <w:t>对比二：</w:t>
      </w:r>
      <w:r w:rsidRPr="002C2A44">
        <w:rPr>
          <w:rFonts w:ascii="仿宋_GB2312" w:eastAsia="仿宋_GB2312" w:hint="eastAsia"/>
          <w:sz w:val="32"/>
          <w:szCs w:val="32"/>
        </w:rPr>
        <w:t>普通技（普通仙术）界面</w:t>
      </w:r>
    </w:p>
    <w:p w:rsidR="00D906DC" w:rsidRPr="0040556D" w:rsidRDefault="008E3AEC" w:rsidP="00E711DA">
      <w:r>
        <w:rPr>
          <w:noProof/>
        </w:rPr>
        <w:pict>
          <v:shape id="图片 18" o:spid="_x0000_i1029" type="#_x0000_t75" alt="太极熊猫炼星截图" style="width:219.75pt;height:149.6pt;visibility:visible">
            <v:imagedata r:id="rId14" o:title=""/>
          </v:shape>
        </w:pict>
      </w:r>
      <w:r>
        <w:rPr>
          <w:noProof/>
        </w:rPr>
        <w:pict>
          <v:shape id="图片 23" o:spid="_x0000_i1030" type="#_x0000_t75" style="width:222.55pt;height:149.6pt;visibility:visible">
            <v:imagedata r:id="rId15" o:title=""/>
          </v:shape>
        </w:pict>
      </w:r>
    </w:p>
    <w:p w:rsidR="00D906DC" w:rsidRDefault="00D906DC" w:rsidP="00E711DA">
      <w:pPr>
        <w:jc w:val="center"/>
      </w:pPr>
      <w:r>
        <w:rPr>
          <w:rFonts w:ascii="仿宋_GB2312" w:eastAsia="仿宋_GB2312" w:hint="eastAsia"/>
          <w:sz w:val="32"/>
          <w:szCs w:val="32"/>
        </w:rPr>
        <w:t>对比三：玩法炼星</w:t>
      </w:r>
      <w:r w:rsidRPr="002C2A44">
        <w:rPr>
          <w:rFonts w:ascii="仿宋_GB2312" w:eastAsia="仿宋_GB2312" w:hint="eastAsia"/>
          <w:sz w:val="32"/>
          <w:szCs w:val="32"/>
        </w:rPr>
        <w:t>界面</w:t>
      </w:r>
    </w:p>
    <w:p w:rsidR="00D906DC" w:rsidRDefault="00D906DC" w:rsidP="00E711DA">
      <w:pPr>
        <w:adjustRightInd w:val="0"/>
        <w:snapToGrid w:val="0"/>
        <w:spacing w:line="520" w:lineRule="exact"/>
        <w:rPr>
          <w:rFonts w:ascii="仿宋_GB2312" w:eastAsia="仿宋_GB2312"/>
          <w:sz w:val="30"/>
          <w:szCs w:val="30"/>
        </w:rPr>
      </w:pPr>
    </w:p>
    <w:p w:rsidR="00D906DC" w:rsidRPr="0040556D" w:rsidRDefault="00D906DC" w:rsidP="005F3E79">
      <w:pPr>
        <w:adjustRightInd w:val="0"/>
        <w:snapToGrid w:val="0"/>
        <w:spacing w:line="520" w:lineRule="exact"/>
        <w:ind w:firstLineChars="200" w:firstLine="600"/>
        <w:rPr>
          <w:rFonts w:ascii="仿宋_GB2312" w:eastAsia="仿宋_GB2312"/>
          <w:sz w:val="30"/>
          <w:szCs w:val="30"/>
        </w:rPr>
      </w:pPr>
      <w:r w:rsidRPr="0040556D">
        <w:rPr>
          <w:rFonts w:ascii="仿宋_GB2312" w:eastAsia="仿宋_GB2312" w:hint="eastAsia"/>
          <w:sz w:val="30"/>
          <w:szCs w:val="30"/>
        </w:rPr>
        <w:t>附件二：</w:t>
      </w:r>
      <w:r>
        <w:rPr>
          <w:rFonts w:ascii="仿宋_GB2312" w:eastAsia="仿宋_GB2312" w:hint="eastAsia"/>
          <w:sz w:val="30"/>
          <w:szCs w:val="30"/>
        </w:rPr>
        <w:t>游戏装备属性数值对比（共计</w:t>
      </w:r>
      <w:r>
        <w:rPr>
          <w:rFonts w:ascii="仿宋_GB2312" w:eastAsia="仿宋_GB2312"/>
          <w:sz w:val="30"/>
          <w:szCs w:val="30"/>
        </w:rPr>
        <w:t>47</w:t>
      </w:r>
      <w:r>
        <w:rPr>
          <w:rFonts w:ascii="仿宋_GB2312" w:eastAsia="仿宋_GB2312" w:hint="eastAsia"/>
          <w:sz w:val="30"/>
          <w:szCs w:val="30"/>
        </w:rPr>
        <w:t>件装备存在倍数或微调关系，此处仅展示</w:t>
      </w:r>
      <w:r>
        <w:rPr>
          <w:rFonts w:ascii="仿宋_GB2312" w:eastAsia="仿宋_GB2312"/>
          <w:sz w:val="30"/>
          <w:szCs w:val="30"/>
        </w:rPr>
        <w:t>1</w:t>
      </w:r>
      <w:r>
        <w:rPr>
          <w:rFonts w:ascii="仿宋_GB2312" w:eastAsia="仿宋_GB2312" w:hint="eastAsia"/>
          <w:sz w:val="30"/>
          <w:szCs w:val="30"/>
        </w:rPr>
        <w:t>、</w:t>
      </w:r>
      <w:r>
        <w:rPr>
          <w:rFonts w:ascii="仿宋_GB2312" w:eastAsia="仿宋_GB2312"/>
          <w:sz w:val="30"/>
          <w:szCs w:val="30"/>
        </w:rPr>
        <w:t>2</w:t>
      </w:r>
      <w:r>
        <w:rPr>
          <w:rFonts w:ascii="仿宋_GB2312" w:eastAsia="仿宋_GB2312" w:hint="eastAsia"/>
          <w:sz w:val="30"/>
          <w:szCs w:val="30"/>
        </w:rPr>
        <w:t>号装备数值）</w:t>
      </w:r>
    </w:p>
    <w:p w:rsidR="00D906DC" w:rsidRDefault="00D906DC" w:rsidP="00E711DA">
      <w:pPr>
        <w:adjustRightInd w:val="0"/>
        <w:snapToGrid w:val="0"/>
        <w:spacing w:line="520" w:lineRule="exact"/>
        <w:rPr>
          <w:rFonts w:ascii="仿宋_GB2312" w:eastAsia="仿宋_GB2312"/>
          <w:sz w:val="30"/>
          <w:szCs w:val="30"/>
        </w:rPr>
      </w:pPr>
    </w:p>
    <w:p w:rsidR="00D906DC" w:rsidRDefault="00DE4705" w:rsidP="00E711DA">
      <w:pPr>
        <w:rPr>
          <w:rFonts w:ascii="宋体" w:hAnsi="Calibri" w:cs="宋体"/>
          <w:b/>
          <w:bCs/>
          <w:color w:val="336600"/>
          <w:kern w:val="0"/>
          <w:sz w:val="28"/>
          <w:szCs w:val="28"/>
          <w:lang w:val="zh-CN"/>
        </w:rPr>
      </w:pPr>
      <w:r w:rsidRPr="00C97063">
        <w:rPr>
          <w:rFonts w:ascii="宋体" w:hAnsi="Calibri" w:cs="宋体"/>
          <w:b/>
          <w:bCs/>
          <w:color w:val="336600"/>
          <w:kern w:val="0"/>
          <w:sz w:val="28"/>
          <w:szCs w:val="28"/>
          <w:lang w:val="zh-CN"/>
        </w:rPr>
        <w:object w:dxaOrig="4530" w:dyaOrig="7935">
          <v:shape id="_x0000_i1031" type="#_x0000_t75" style="width:226.3pt;height:395.55pt" o:ole="">
            <v:imagedata r:id="rId16" o:title=""/>
            <o:lock v:ext="edit" aspectratio="f"/>
          </v:shape>
          <o:OLEObject Type="Embed" ProgID="Picture.PicObj.1" ShapeID="_x0000_i1031" DrawAspect="Content" ObjectID="_1649159612" r:id="rId17"/>
        </w:object>
      </w:r>
      <w:r w:rsidRPr="00C97063">
        <w:rPr>
          <w:rFonts w:ascii="宋体" w:hAnsi="Calibri" w:cs="宋体"/>
          <w:b/>
          <w:bCs/>
          <w:color w:val="336600"/>
          <w:kern w:val="0"/>
          <w:sz w:val="28"/>
          <w:szCs w:val="28"/>
          <w:lang w:val="zh-CN"/>
        </w:rPr>
        <w:object w:dxaOrig="4530" w:dyaOrig="7935">
          <v:shape id="_x0000_i1032" type="#_x0000_t75" style="width:226.3pt;height:395.55pt" o:ole="">
            <v:imagedata r:id="rId18" o:title=""/>
            <o:lock v:ext="edit" aspectratio="f"/>
          </v:shape>
          <o:OLEObject Type="Embed" ProgID="Picture.PicObj.1" ShapeID="_x0000_i1032" DrawAspect="Content" ObjectID="_1649159613" r:id="rId19"/>
        </w:object>
      </w:r>
    </w:p>
    <w:p w:rsidR="00D906DC" w:rsidRPr="0070740B" w:rsidRDefault="00D906DC" w:rsidP="00E711DA">
      <w:pPr>
        <w:pStyle w:val="1"/>
      </w:pPr>
      <w:r>
        <w:br w:type="page"/>
      </w:r>
      <w:bookmarkStart w:id="2" w:name="_Toc33644622"/>
      <w:bookmarkStart w:id="3" w:name="_Toc38029045"/>
      <w:r>
        <w:lastRenderedPageBreak/>
        <w:t>2.</w:t>
      </w:r>
      <w:r w:rsidRPr="0070740B">
        <w:rPr>
          <w:rFonts w:hint="eastAsia"/>
        </w:rPr>
        <w:t>未经许可依画制作苏绣的著作权侵权认定</w:t>
      </w:r>
      <w:bookmarkEnd w:id="2"/>
      <w:r>
        <w:rPr>
          <w:rFonts w:hint="eastAsia"/>
        </w:rPr>
        <w:t>案</w:t>
      </w:r>
      <w:bookmarkEnd w:id="3"/>
    </w:p>
    <w:p w:rsidR="00D906DC" w:rsidRPr="0070740B" w:rsidRDefault="00D906DC" w:rsidP="00E711DA">
      <w:pPr>
        <w:pStyle w:val="2"/>
      </w:pPr>
      <w:bookmarkStart w:id="4" w:name="_Toc33644623"/>
      <w:bookmarkStart w:id="5" w:name="_Toc38029046"/>
      <w:r w:rsidRPr="0070740B">
        <w:t>——</w:t>
      </w:r>
      <w:r w:rsidRPr="0070740B">
        <w:rPr>
          <w:rFonts w:hint="eastAsia"/>
        </w:rPr>
        <w:t>曹新华诉濮凤娟著作权侵权纠纷案</w:t>
      </w:r>
      <w:bookmarkEnd w:id="4"/>
      <w:bookmarkEnd w:id="5"/>
    </w:p>
    <w:p w:rsidR="00D906DC" w:rsidRPr="00962B09" w:rsidRDefault="00D906DC" w:rsidP="005F3E79">
      <w:pPr>
        <w:adjustRightInd w:val="0"/>
        <w:snapToGrid w:val="0"/>
        <w:spacing w:line="520" w:lineRule="exact"/>
        <w:ind w:firstLineChars="200" w:firstLine="600"/>
        <w:rPr>
          <w:rFonts w:ascii="仿宋_GB2312" w:eastAsia="仿宋_GB2312"/>
          <w:sz w:val="30"/>
          <w:szCs w:val="30"/>
        </w:rPr>
      </w:pPr>
    </w:p>
    <w:p w:rsidR="00D906DC" w:rsidRPr="00962B09" w:rsidRDefault="00D906DC" w:rsidP="005F3E79">
      <w:pPr>
        <w:adjustRightInd w:val="0"/>
        <w:snapToGrid w:val="0"/>
        <w:spacing w:line="520" w:lineRule="exact"/>
        <w:ind w:firstLineChars="200" w:firstLine="602"/>
        <w:rPr>
          <w:rFonts w:ascii="仿宋_GB2312" w:eastAsia="仿宋_GB2312"/>
          <w:b/>
          <w:bCs/>
          <w:sz w:val="30"/>
          <w:szCs w:val="30"/>
        </w:rPr>
      </w:pPr>
      <w:r w:rsidRPr="00962B09">
        <w:rPr>
          <w:rFonts w:ascii="仿宋_GB2312" w:eastAsia="仿宋_GB2312" w:hint="eastAsia"/>
          <w:b/>
          <w:bCs/>
          <w:sz w:val="30"/>
          <w:szCs w:val="30"/>
        </w:rPr>
        <w:t>【案件信息】</w:t>
      </w:r>
    </w:p>
    <w:p w:rsidR="00D906DC" w:rsidRPr="00962B09" w:rsidRDefault="00D906DC" w:rsidP="005F3E79">
      <w:pPr>
        <w:adjustRightInd w:val="0"/>
        <w:snapToGrid w:val="0"/>
        <w:spacing w:line="520" w:lineRule="exact"/>
        <w:ind w:firstLineChars="200" w:firstLine="600"/>
        <w:rPr>
          <w:rFonts w:ascii="仿宋_GB2312" w:eastAsia="仿宋_GB2312"/>
          <w:sz w:val="30"/>
          <w:szCs w:val="30"/>
        </w:rPr>
      </w:pPr>
      <w:r w:rsidRPr="00962B09">
        <w:rPr>
          <w:rFonts w:ascii="仿宋_GB2312" w:eastAsia="仿宋_GB2312" w:hint="eastAsia"/>
          <w:sz w:val="30"/>
          <w:szCs w:val="30"/>
        </w:rPr>
        <w:t>案号：苏州中院（</w:t>
      </w:r>
      <w:r w:rsidRPr="00962B09">
        <w:rPr>
          <w:rFonts w:ascii="仿宋_GB2312" w:eastAsia="仿宋_GB2312"/>
          <w:sz w:val="30"/>
          <w:szCs w:val="30"/>
        </w:rPr>
        <w:t>2018</w:t>
      </w:r>
      <w:r w:rsidRPr="00962B09">
        <w:rPr>
          <w:rFonts w:ascii="仿宋_GB2312" w:eastAsia="仿宋_GB2312" w:hint="eastAsia"/>
          <w:sz w:val="30"/>
          <w:szCs w:val="30"/>
        </w:rPr>
        <w:t>）苏</w:t>
      </w:r>
      <w:r w:rsidRPr="00962B09">
        <w:rPr>
          <w:rFonts w:ascii="仿宋_GB2312" w:eastAsia="仿宋_GB2312"/>
          <w:sz w:val="30"/>
          <w:szCs w:val="30"/>
        </w:rPr>
        <w:t>05</w:t>
      </w:r>
      <w:r w:rsidRPr="00962B09">
        <w:rPr>
          <w:rFonts w:ascii="仿宋_GB2312" w:eastAsia="仿宋_GB2312" w:hint="eastAsia"/>
          <w:sz w:val="30"/>
          <w:szCs w:val="30"/>
        </w:rPr>
        <w:t>民初</w:t>
      </w:r>
      <w:r w:rsidRPr="00962B09">
        <w:rPr>
          <w:rFonts w:ascii="仿宋_GB2312" w:eastAsia="仿宋_GB2312"/>
          <w:sz w:val="30"/>
          <w:szCs w:val="30"/>
        </w:rPr>
        <w:t>557</w:t>
      </w:r>
      <w:r w:rsidRPr="00962B09">
        <w:rPr>
          <w:rFonts w:ascii="仿宋_GB2312" w:eastAsia="仿宋_GB2312" w:hint="eastAsia"/>
          <w:sz w:val="30"/>
          <w:szCs w:val="30"/>
        </w:rPr>
        <w:t>号</w:t>
      </w:r>
    </w:p>
    <w:p w:rsidR="00D906DC" w:rsidRPr="00962B09" w:rsidRDefault="00D906DC" w:rsidP="005F3E79">
      <w:pPr>
        <w:adjustRightInd w:val="0"/>
        <w:snapToGrid w:val="0"/>
        <w:spacing w:line="520" w:lineRule="exact"/>
        <w:ind w:firstLineChars="500" w:firstLine="1500"/>
        <w:rPr>
          <w:rFonts w:ascii="仿宋_GB2312" w:eastAsia="仿宋_GB2312"/>
          <w:sz w:val="30"/>
          <w:szCs w:val="30"/>
        </w:rPr>
      </w:pPr>
      <w:r w:rsidRPr="00962B09">
        <w:rPr>
          <w:rFonts w:ascii="仿宋_GB2312" w:eastAsia="仿宋_GB2312" w:hint="eastAsia"/>
          <w:sz w:val="30"/>
          <w:szCs w:val="30"/>
        </w:rPr>
        <w:t>江苏高院（</w:t>
      </w:r>
      <w:r w:rsidRPr="00962B09">
        <w:rPr>
          <w:rFonts w:ascii="仿宋_GB2312" w:eastAsia="仿宋_GB2312"/>
          <w:sz w:val="30"/>
          <w:szCs w:val="30"/>
        </w:rPr>
        <w:t>2019</w:t>
      </w:r>
      <w:r w:rsidRPr="00962B09">
        <w:rPr>
          <w:rFonts w:ascii="仿宋_GB2312" w:eastAsia="仿宋_GB2312" w:hint="eastAsia"/>
          <w:sz w:val="30"/>
          <w:szCs w:val="30"/>
        </w:rPr>
        <w:t>）苏民终</w:t>
      </w:r>
      <w:r w:rsidRPr="00962B09">
        <w:rPr>
          <w:rFonts w:ascii="仿宋_GB2312" w:eastAsia="仿宋_GB2312"/>
          <w:sz w:val="30"/>
          <w:szCs w:val="30"/>
        </w:rPr>
        <w:t>1410</w:t>
      </w:r>
      <w:r w:rsidRPr="00962B09">
        <w:rPr>
          <w:rFonts w:ascii="仿宋_GB2312" w:eastAsia="仿宋_GB2312" w:hint="eastAsia"/>
          <w:sz w:val="30"/>
          <w:szCs w:val="30"/>
        </w:rPr>
        <w:t>号</w:t>
      </w:r>
    </w:p>
    <w:p w:rsidR="00D906DC" w:rsidRPr="00962B09" w:rsidRDefault="00D906DC" w:rsidP="005F3E79">
      <w:pPr>
        <w:adjustRightInd w:val="0"/>
        <w:snapToGrid w:val="0"/>
        <w:spacing w:line="520" w:lineRule="exact"/>
        <w:ind w:firstLineChars="200" w:firstLine="600"/>
        <w:rPr>
          <w:rFonts w:ascii="仿宋_GB2312" w:eastAsia="仿宋_GB2312"/>
          <w:sz w:val="30"/>
          <w:szCs w:val="30"/>
        </w:rPr>
      </w:pPr>
      <w:r w:rsidRPr="00962B09">
        <w:rPr>
          <w:rFonts w:ascii="仿宋_GB2312" w:eastAsia="仿宋_GB2312" w:hint="eastAsia"/>
          <w:sz w:val="30"/>
          <w:szCs w:val="30"/>
        </w:rPr>
        <w:t>原告：曹新华</w:t>
      </w:r>
    </w:p>
    <w:p w:rsidR="00D906DC" w:rsidRPr="00962B09" w:rsidRDefault="00D906DC" w:rsidP="005F3E79">
      <w:pPr>
        <w:adjustRightInd w:val="0"/>
        <w:snapToGrid w:val="0"/>
        <w:spacing w:line="520" w:lineRule="exact"/>
        <w:ind w:firstLineChars="200" w:firstLine="600"/>
        <w:rPr>
          <w:rFonts w:ascii="仿宋_GB2312" w:eastAsia="仿宋_GB2312"/>
          <w:sz w:val="30"/>
          <w:szCs w:val="30"/>
        </w:rPr>
      </w:pPr>
      <w:r w:rsidRPr="00962B09">
        <w:rPr>
          <w:rFonts w:ascii="仿宋_GB2312" w:eastAsia="仿宋_GB2312" w:hint="eastAsia"/>
          <w:sz w:val="30"/>
          <w:szCs w:val="30"/>
        </w:rPr>
        <w:t>被告：濮凤娟</w:t>
      </w:r>
    </w:p>
    <w:p w:rsidR="00D906DC" w:rsidRPr="00962B09" w:rsidRDefault="00D906DC" w:rsidP="005F3E79">
      <w:pPr>
        <w:adjustRightInd w:val="0"/>
        <w:snapToGrid w:val="0"/>
        <w:spacing w:line="520" w:lineRule="exact"/>
        <w:ind w:firstLineChars="200" w:firstLine="600"/>
        <w:rPr>
          <w:rFonts w:ascii="仿宋_GB2312" w:eastAsia="仿宋_GB2312"/>
          <w:sz w:val="30"/>
          <w:szCs w:val="30"/>
        </w:rPr>
      </w:pPr>
      <w:r w:rsidRPr="00962B09">
        <w:rPr>
          <w:rFonts w:ascii="仿宋_GB2312" w:eastAsia="仿宋_GB2312" w:hint="eastAsia"/>
          <w:sz w:val="30"/>
          <w:szCs w:val="30"/>
        </w:rPr>
        <w:t>第三人：王信贺</w:t>
      </w:r>
    </w:p>
    <w:p w:rsidR="00D906DC" w:rsidRPr="00962B09" w:rsidRDefault="00D906DC" w:rsidP="005F3E79">
      <w:pPr>
        <w:adjustRightInd w:val="0"/>
        <w:snapToGrid w:val="0"/>
        <w:spacing w:line="520" w:lineRule="exact"/>
        <w:ind w:firstLineChars="200" w:firstLine="602"/>
        <w:rPr>
          <w:rFonts w:ascii="仿宋_GB2312" w:eastAsia="仿宋_GB2312"/>
          <w:b/>
          <w:bCs/>
          <w:sz w:val="30"/>
          <w:szCs w:val="30"/>
        </w:rPr>
      </w:pPr>
      <w:r w:rsidRPr="00962B09">
        <w:rPr>
          <w:rFonts w:ascii="仿宋_GB2312" w:eastAsia="仿宋_GB2312" w:hint="eastAsia"/>
          <w:b/>
          <w:bCs/>
          <w:sz w:val="30"/>
          <w:szCs w:val="30"/>
        </w:rPr>
        <w:t>【裁判要旨】</w:t>
      </w:r>
    </w:p>
    <w:p w:rsidR="00D906DC" w:rsidRPr="00962B09" w:rsidRDefault="00D906DC" w:rsidP="005F3E79">
      <w:pPr>
        <w:adjustRightInd w:val="0"/>
        <w:snapToGrid w:val="0"/>
        <w:spacing w:line="520" w:lineRule="exact"/>
        <w:ind w:firstLineChars="200" w:firstLine="600"/>
        <w:rPr>
          <w:rFonts w:ascii="仿宋_GB2312" w:eastAsia="仿宋_GB2312"/>
          <w:sz w:val="30"/>
          <w:szCs w:val="30"/>
        </w:rPr>
      </w:pPr>
      <w:r w:rsidRPr="00962B09">
        <w:rPr>
          <w:rFonts w:ascii="仿宋_GB2312" w:eastAsia="仿宋_GB2312"/>
          <w:sz w:val="30"/>
          <w:szCs w:val="30"/>
        </w:rPr>
        <w:t>1</w:t>
      </w:r>
      <w:r w:rsidRPr="00962B09">
        <w:rPr>
          <w:rFonts w:ascii="仿宋_GB2312" w:eastAsia="仿宋_GB2312" w:hint="eastAsia"/>
          <w:sz w:val="30"/>
          <w:szCs w:val="30"/>
        </w:rPr>
        <w:t>．苏绣和绘画是两种不同领域不同载体的表达方式。苏绣是画稿、图案、造型、针法、绣工、色彩、技艺、装裱等多方面的综合体现。即便苏绣作品系以画作为底稿，但经过刺绣艺人对造型、色彩、针法等因素的选择与创作，已经形成新的表达，属于艺术再创作，其实质是对画作作品实施了改编，未经同意使用底稿，侵害了他人作品改编权而非复制权。</w:t>
      </w:r>
    </w:p>
    <w:p w:rsidR="00D906DC" w:rsidRPr="00962B09" w:rsidRDefault="00D906DC" w:rsidP="005F3E79">
      <w:pPr>
        <w:adjustRightInd w:val="0"/>
        <w:snapToGrid w:val="0"/>
        <w:spacing w:line="520" w:lineRule="exact"/>
        <w:ind w:firstLineChars="200" w:firstLine="600"/>
        <w:rPr>
          <w:rFonts w:ascii="仿宋_GB2312" w:eastAsia="仿宋_GB2312"/>
          <w:sz w:val="30"/>
          <w:szCs w:val="30"/>
        </w:rPr>
      </w:pPr>
      <w:r w:rsidRPr="00962B09">
        <w:rPr>
          <w:rFonts w:ascii="仿宋_GB2312" w:eastAsia="仿宋_GB2312"/>
          <w:sz w:val="30"/>
          <w:szCs w:val="30"/>
        </w:rPr>
        <w:t>2.</w:t>
      </w:r>
      <w:r w:rsidRPr="00962B09">
        <w:rPr>
          <w:rFonts w:ascii="仿宋_GB2312" w:eastAsia="仿宋_GB2312" w:hint="eastAsia"/>
          <w:sz w:val="30"/>
          <w:szCs w:val="30"/>
        </w:rPr>
        <w:t>在改编人添加了一定程度的、有别于在先作品的、具有独创性的特有表达要素、表达方式、表达效果以后，即便改编作品和在先作品之间仍然存在着“实质性相似”的情形，但是改编作品给予普通受众所呈现出的欣赏体验和感受并不能完全等同于在先作品，亦非对于在先作品原样或基本原样“再现”。</w:t>
      </w:r>
    </w:p>
    <w:p w:rsidR="00D906DC" w:rsidRPr="00962B09" w:rsidRDefault="00D906DC" w:rsidP="005F3E79">
      <w:pPr>
        <w:adjustRightInd w:val="0"/>
        <w:snapToGrid w:val="0"/>
        <w:spacing w:line="520" w:lineRule="exact"/>
        <w:ind w:firstLineChars="200" w:firstLine="600"/>
        <w:rPr>
          <w:rFonts w:ascii="仿宋_GB2312" w:eastAsia="仿宋_GB2312"/>
          <w:sz w:val="30"/>
          <w:szCs w:val="30"/>
        </w:rPr>
      </w:pPr>
      <w:r w:rsidRPr="00962B09">
        <w:rPr>
          <w:rFonts w:ascii="仿宋_GB2312" w:eastAsia="仿宋_GB2312"/>
          <w:sz w:val="30"/>
          <w:szCs w:val="30"/>
        </w:rPr>
        <w:t>3</w:t>
      </w:r>
      <w:r>
        <w:rPr>
          <w:rFonts w:ascii="仿宋_GB2312" w:eastAsia="仿宋_GB2312"/>
          <w:sz w:val="30"/>
          <w:szCs w:val="30"/>
        </w:rPr>
        <w:t>.</w:t>
      </w:r>
      <w:r w:rsidRPr="00962B09">
        <w:rPr>
          <w:rFonts w:ascii="仿宋_GB2312" w:eastAsia="仿宋_GB2312" w:hint="eastAsia"/>
          <w:sz w:val="30"/>
          <w:szCs w:val="30"/>
        </w:rPr>
        <w:t>苏绣为我国非物质文化遗产。苏绣绣品的绣制经过刺绣艺人创造性劳动，即便其侵犯底稿画作作品的改编权，在表达介质、表达方式、表达效果上亦形成了与底稿有着显著区分的、具有独创性的新作</w:t>
      </w:r>
      <w:r w:rsidRPr="00962B09">
        <w:rPr>
          <w:rFonts w:ascii="仿宋_GB2312" w:eastAsia="仿宋_GB2312" w:hint="eastAsia"/>
          <w:sz w:val="30"/>
          <w:szCs w:val="30"/>
        </w:rPr>
        <w:lastRenderedPageBreak/>
        <w:t>品，享有独立的著作权，受著作权法保护。</w:t>
      </w:r>
    </w:p>
    <w:p w:rsidR="00D906DC" w:rsidRPr="00C25487" w:rsidRDefault="00D906DC" w:rsidP="005F3E79">
      <w:pPr>
        <w:adjustRightInd w:val="0"/>
        <w:snapToGrid w:val="0"/>
        <w:spacing w:line="520" w:lineRule="exact"/>
        <w:ind w:firstLineChars="200" w:firstLine="602"/>
        <w:rPr>
          <w:rFonts w:ascii="仿宋_GB2312" w:eastAsia="仿宋_GB2312"/>
          <w:b/>
          <w:bCs/>
          <w:sz w:val="30"/>
          <w:szCs w:val="30"/>
        </w:rPr>
      </w:pPr>
      <w:r w:rsidRPr="00C25487">
        <w:rPr>
          <w:rFonts w:ascii="仿宋_GB2312" w:eastAsia="仿宋_GB2312" w:hint="eastAsia"/>
          <w:b/>
          <w:bCs/>
          <w:sz w:val="30"/>
          <w:szCs w:val="30"/>
        </w:rPr>
        <w:t>【基本案情】</w:t>
      </w:r>
    </w:p>
    <w:p w:rsidR="00D906DC" w:rsidRPr="00962B09" w:rsidRDefault="00D906DC" w:rsidP="005F3E79">
      <w:pPr>
        <w:adjustRightInd w:val="0"/>
        <w:snapToGrid w:val="0"/>
        <w:spacing w:line="520" w:lineRule="exact"/>
        <w:ind w:firstLineChars="200" w:firstLine="600"/>
        <w:rPr>
          <w:rFonts w:ascii="仿宋_GB2312" w:eastAsia="仿宋_GB2312"/>
          <w:sz w:val="30"/>
          <w:szCs w:val="30"/>
        </w:rPr>
      </w:pPr>
      <w:r w:rsidRPr="00962B09">
        <w:rPr>
          <w:rFonts w:ascii="仿宋_GB2312" w:eastAsia="仿宋_GB2312" w:hint="eastAsia"/>
          <w:sz w:val="30"/>
          <w:szCs w:val="30"/>
        </w:rPr>
        <w:t>曹新华的笔名为曹雪枫，曾多次获得国内外美术作品展赛大奖。</w:t>
      </w:r>
      <w:r w:rsidRPr="00962B09">
        <w:rPr>
          <w:rFonts w:ascii="仿宋_GB2312" w:eastAsia="仿宋_GB2312"/>
          <w:sz w:val="30"/>
          <w:szCs w:val="30"/>
        </w:rPr>
        <w:t>2005</w:t>
      </w:r>
      <w:r w:rsidRPr="00962B09">
        <w:rPr>
          <w:rFonts w:ascii="仿宋_GB2312" w:eastAsia="仿宋_GB2312" w:hint="eastAsia"/>
          <w:sz w:val="30"/>
          <w:szCs w:val="30"/>
        </w:rPr>
        <w:t>年</w:t>
      </w:r>
      <w:r w:rsidRPr="00962B09">
        <w:rPr>
          <w:rFonts w:ascii="仿宋_GB2312" w:eastAsia="仿宋_GB2312"/>
          <w:sz w:val="30"/>
          <w:szCs w:val="30"/>
        </w:rPr>
        <w:t>6</w:t>
      </w:r>
      <w:r w:rsidRPr="00962B09">
        <w:rPr>
          <w:rFonts w:ascii="仿宋_GB2312" w:eastAsia="仿宋_GB2312" w:hint="eastAsia"/>
          <w:sz w:val="30"/>
          <w:szCs w:val="30"/>
        </w:rPr>
        <w:t>月，曹新华通过北京工艺美术出版社出版了《曹雪枫画集》。该画集收藏了曹新华的多幅山水画和工笔画，其中包括有工笔画《华清浴妃图》。濮凤娟在苏州高新区镇湖街道及苏州吴中区光福镇经营有濮凤娟刺绣艺术工作室。濮凤娟根据工笔画《华清浴妃图》绣制</w:t>
      </w:r>
      <w:r w:rsidRPr="00962B09">
        <w:rPr>
          <w:rFonts w:ascii="仿宋_GB2312" w:eastAsia="仿宋_GB2312"/>
          <w:sz w:val="30"/>
          <w:szCs w:val="30"/>
        </w:rPr>
        <w:t>140cm*360cm</w:t>
      </w:r>
      <w:r w:rsidRPr="00962B09">
        <w:rPr>
          <w:rFonts w:ascii="仿宋_GB2312" w:eastAsia="仿宋_GB2312" w:hint="eastAsia"/>
          <w:sz w:val="30"/>
          <w:szCs w:val="30"/>
        </w:rPr>
        <w:t>《华清浴妃图》苏绣。搜狐新闻对于濮凤娟绣制的《华清浴妃图》苏绣进行过报道。濮凤娟在其工作室的宣传中曾表示，其创作的</w:t>
      </w:r>
      <w:r w:rsidRPr="00962B09">
        <w:rPr>
          <w:rFonts w:ascii="仿宋_GB2312" w:eastAsia="仿宋_GB2312"/>
          <w:sz w:val="30"/>
          <w:szCs w:val="30"/>
        </w:rPr>
        <w:t>70cm*170cm</w:t>
      </w:r>
      <w:r w:rsidRPr="00962B09">
        <w:rPr>
          <w:rFonts w:ascii="仿宋_GB2312" w:eastAsia="仿宋_GB2312" w:hint="eastAsia"/>
          <w:sz w:val="30"/>
          <w:szCs w:val="30"/>
        </w:rPr>
        <w:t>《华清浴妃图》单面细平绣曾获得金奖。濮凤娟</w:t>
      </w:r>
      <w:r>
        <w:rPr>
          <w:rFonts w:ascii="仿宋_GB2312" w:eastAsia="仿宋_GB2312" w:hint="eastAsia"/>
          <w:sz w:val="30"/>
          <w:szCs w:val="30"/>
        </w:rPr>
        <w:t>向</w:t>
      </w:r>
      <w:r w:rsidRPr="00962B09">
        <w:rPr>
          <w:rFonts w:ascii="仿宋_GB2312" w:eastAsia="仿宋_GB2312" w:hint="eastAsia"/>
          <w:sz w:val="30"/>
          <w:szCs w:val="30"/>
        </w:rPr>
        <w:t>曹新华的委托代理人王兴宏表示其多年前曾将一幅《华清浴妃图》苏绣作品售于</w:t>
      </w:r>
      <w:r w:rsidRPr="00A90C50">
        <w:rPr>
          <w:rFonts w:ascii="仿宋_GB2312" w:eastAsia="仿宋_GB2312" w:hint="eastAsia"/>
          <w:sz w:val="30"/>
          <w:szCs w:val="30"/>
        </w:rPr>
        <w:t>北京启奥宏达装饰有限公司（以下简称启奥公司）</w:t>
      </w:r>
      <w:r w:rsidRPr="00962B09">
        <w:rPr>
          <w:rFonts w:ascii="仿宋_GB2312" w:eastAsia="仿宋_GB2312" w:hint="eastAsia"/>
          <w:sz w:val="30"/>
          <w:szCs w:val="30"/>
        </w:rPr>
        <w:t>，价格为</w:t>
      </w:r>
      <w:r w:rsidRPr="00962B09">
        <w:rPr>
          <w:rFonts w:ascii="仿宋_GB2312" w:eastAsia="仿宋_GB2312"/>
          <w:sz w:val="30"/>
          <w:szCs w:val="30"/>
        </w:rPr>
        <w:t>80</w:t>
      </w:r>
      <w:r w:rsidRPr="00962B09">
        <w:rPr>
          <w:rFonts w:ascii="仿宋_GB2312" w:eastAsia="仿宋_GB2312" w:hint="eastAsia"/>
          <w:sz w:val="30"/>
          <w:szCs w:val="30"/>
        </w:rPr>
        <w:t>多万元。此后，王兴宏在微信聊天中要求濮凤娟对《华清浴妃图》苏绣作品进行报价。濮凤娟回复称：《华清浴妃图》</w:t>
      </w:r>
      <w:r w:rsidRPr="00962B09">
        <w:rPr>
          <w:rFonts w:ascii="仿宋_GB2312" w:eastAsia="仿宋_GB2312"/>
          <w:sz w:val="30"/>
          <w:szCs w:val="30"/>
        </w:rPr>
        <w:t>140cm*360cm</w:t>
      </w:r>
      <w:r w:rsidRPr="00962B09">
        <w:rPr>
          <w:rFonts w:ascii="仿宋_GB2312" w:eastAsia="仿宋_GB2312" w:hint="eastAsia"/>
          <w:sz w:val="30"/>
          <w:szCs w:val="30"/>
        </w:rPr>
        <w:t>价格</w:t>
      </w:r>
      <w:r w:rsidRPr="00962B09">
        <w:rPr>
          <w:rFonts w:ascii="仿宋_GB2312" w:eastAsia="仿宋_GB2312"/>
          <w:sz w:val="30"/>
          <w:szCs w:val="30"/>
        </w:rPr>
        <w:t>170</w:t>
      </w:r>
      <w:r w:rsidRPr="00962B09">
        <w:rPr>
          <w:rFonts w:ascii="仿宋_GB2312" w:eastAsia="仿宋_GB2312" w:hint="eastAsia"/>
          <w:sz w:val="30"/>
          <w:szCs w:val="30"/>
        </w:rPr>
        <w:t>万元，</w:t>
      </w:r>
      <w:r w:rsidRPr="00962B09">
        <w:rPr>
          <w:rFonts w:ascii="仿宋_GB2312" w:eastAsia="仿宋_GB2312"/>
          <w:sz w:val="30"/>
          <w:szCs w:val="30"/>
        </w:rPr>
        <w:t>70cm*170cm</w:t>
      </w:r>
      <w:r w:rsidRPr="00962B09">
        <w:rPr>
          <w:rFonts w:ascii="仿宋_GB2312" w:eastAsia="仿宋_GB2312" w:hint="eastAsia"/>
          <w:sz w:val="30"/>
          <w:szCs w:val="30"/>
        </w:rPr>
        <w:t>价格为</w:t>
      </w:r>
      <w:r w:rsidRPr="00962B09">
        <w:rPr>
          <w:rFonts w:ascii="仿宋_GB2312" w:eastAsia="仿宋_GB2312"/>
          <w:sz w:val="30"/>
          <w:szCs w:val="30"/>
        </w:rPr>
        <w:t>86</w:t>
      </w:r>
      <w:r w:rsidRPr="00962B09">
        <w:rPr>
          <w:rFonts w:ascii="仿宋_GB2312" w:eastAsia="仿宋_GB2312" w:hint="eastAsia"/>
          <w:sz w:val="30"/>
          <w:szCs w:val="30"/>
        </w:rPr>
        <w:t>万元。</w:t>
      </w:r>
    </w:p>
    <w:p w:rsidR="00D906DC" w:rsidRPr="00962B09" w:rsidRDefault="00D906DC" w:rsidP="005F3E79">
      <w:pPr>
        <w:adjustRightInd w:val="0"/>
        <w:snapToGrid w:val="0"/>
        <w:spacing w:line="520" w:lineRule="exact"/>
        <w:ind w:firstLineChars="200" w:firstLine="600"/>
        <w:rPr>
          <w:rFonts w:ascii="仿宋_GB2312" w:eastAsia="仿宋_GB2312"/>
          <w:sz w:val="30"/>
          <w:szCs w:val="30"/>
        </w:rPr>
      </w:pPr>
      <w:r w:rsidRPr="00962B09">
        <w:rPr>
          <w:rFonts w:ascii="仿宋_GB2312" w:eastAsia="仿宋_GB2312" w:hint="eastAsia"/>
          <w:sz w:val="30"/>
          <w:szCs w:val="30"/>
        </w:rPr>
        <w:t>濮凤娟称，一根丝线可以分解为“绒、丝、毛”，</w:t>
      </w:r>
      <w:r w:rsidRPr="00962B09">
        <w:rPr>
          <w:rFonts w:ascii="仿宋_GB2312" w:eastAsia="仿宋_GB2312"/>
          <w:sz w:val="30"/>
          <w:szCs w:val="30"/>
        </w:rPr>
        <w:t>1</w:t>
      </w:r>
      <w:r w:rsidRPr="00962B09">
        <w:rPr>
          <w:rFonts w:ascii="仿宋_GB2312" w:eastAsia="仿宋_GB2312" w:hint="eastAsia"/>
          <w:sz w:val="30"/>
          <w:szCs w:val="30"/>
        </w:rPr>
        <w:t>根等于</w:t>
      </w:r>
      <w:r w:rsidRPr="00962B09">
        <w:rPr>
          <w:rFonts w:ascii="仿宋_GB2312" w:eastAsia="仿宋_GB2312"/>
          <w:sz w:val="30"/>
          <w:szCs w:val="30"/>
        </w:rPr>
        <w:t>2</w:t>
      </w:r>
      <w:r w:rsidRPr="00962B09">
        <w:rPr>
          <w:rFonts w:ascii="仿宋_GB2312" w:eastAsia="仿宋_GB2312" w:hint="eastAsia"/>
          <w:sz w:val="30"/>
          <w:szCs w:val="30"/>
        </w:rPr>
        <w:t>绒，</w:t>
      </w:r>
      <w:r w:rsidRPr="00962B09">
        <w:rPr>
          <w:rFonts w:ascii="仿宋_GB2312" w:eastAsia="仿宋_GB2312"/>
          <w:sz w:val="30"/>
          <w:szCs w:val="30"/>
        </w:rPr>
        <w:t>1</w:t>
      </w:r>
      <w:r w:rsidRPr="00962B09">
        <w:rPr>
          <w:rFonts w:ascii="仿宋_GB2312" w:eastAsia="仿宋_GB2312" w:hint="eastAsia"/>
          <w:sz w:val="30"/>
          <w:szCs w:val="30"/>
        </w:rPr>
        <w:t>绒等于</w:t>
      </w:r>
      <w:r w:rsidRPr="00962B09">
        <w:rPr>
          <w:rFonts w:ascii="仿宋_GB2312" w:eastAsia="仿宋_GB2312"/>
          <w:sz w:val="30"/>
          <w:szCs w:val="30"/>
        </w:rPr>
        <w:t>8</w:t>
      </w:r>
      <w:r w:rsidRPr="00962B09">
        <w:rPr>
          <w:rFonts w:ascii="仿宋_GB2312" w:eastAsia="仿宋_GB2312" w:hint="eastAsia"/>
          <w:sz w:val="30"/>
          <w:szCs w:val="30"/>
        </w:rPr>
        <w:t>丝，</w:t>
      </w:r>
      <w:r w:rsidRPr="00962B09">
        <w:rPr>
          <w:rFonts w:ascii="仿宋_GB2312" w:eastAsia="仿宋_GB2312"/>
          <w:sz w:val="30"/>
          <w:szCs w:val="30"/>
        </w:rPr>
        <w:t>1</w:t>
      </w:r>
      <w:r w:rsidRPr="00962B09">
        <w:rPr>
          <w:rFonts w:ascii="仿宋_GB2312" w:eastAsia="仿宋_GB2312" w:hint="eastAsia"/>
          <w:sz w:val="30"/>
          <w:szCs w:val="30"/>
        </w:rPr>
        <w:t>丝等于</w:t>
      </w:r>
      <w:r w:rsidRPr="00962B09">
        <w:rPr>
          <w:rFonts w:ascii="仿宋_GB2312" w:eastAsia="仿宋_GB2312"/>
          <w:sz w:val="30"/>
          <w:szCs w:val="30"/>
        </w:rPr>
        <w:t>22</w:t>
      </w:r>
      <w:r w:rsidRPr="00962B09">
        <w:rPr>
          <w:rFonts w:ascii="仿宋_GB2312" w:eastAsia="仿宋_GB2312" w:hint="eastAsia"/>
          <w:sz w:val="30"/>
          <w:szCs w:val="30"/>
        </w:rPr>
        <w:t>毛，最细的</w:t>
      </w:r>
      <w:r w:rsidRPr="00962B09">
        <w:rPr>
          <w:rFonts w:ascii="仿宋_GB2312" w:eastAsia="仿宋_GB2312"/>
          <w:sz w:val="30"/>
          <w:szCs w:val="30"/>
        </w:rPr>
        <w:t>1</w:t>
      </w:r>
      <w:r w:rsidRPr="00962B09">
        <w:rPr>
          <w:rFonts w:ascii="仿宋_GB2312" w:eastAsia="仿宋_GB2312" w:hint="eastAsia"/>
          <w:sz w:val="30"/>
          <w:szCs w:val="30"/>
        </w:rPr>
        <w:t>根丝线劈成</w:t>
      </w:r>
      <w:r w:rsidRPr="00962B09">
        <w:rPr>
          <w:rFonts w:ascii="仿宋_GB2312" w:eastAsia="仿宋_GB2312"/>
          <w:sz w:val="30"/>
          <w:szCs w:val="30"/>
        </w:rPr>
        <w:t>352</w:t>
      </w:r>
      <w:r w:rsidRPr="00962B09">
        <w:rPr>
          <w:rFonts w:ascii="仿宋_GB2312" w:eastAsia="仿宋_GB2312" w:hint="eastAsia"/>
          <w:sz w:val="30"/>
          <w:szCs w:val="30"/>
        </w:rPr>
        <w:t>毛。刺绣一幅《华清浴妃图》，大致估算需要赤橙黄绿青蓝紫等</w:t>
      </w:r>
      <w:r w:rsidRPr="00962B09">
        <w:rPr>
          <w:rFonts w:ascii="仿宋_GB2312" w:eastAsia="仿宋_GB2312"/>
          <w:sz w:val="30"/>
          <w:szCs w:val="30"/>
        </w:rPr>
        <w:t>20</w:t>
      </w:r>
      <w:r w:rsidRPr="00962B09">
        <w:rPr>
          <w:rFonts w:ascii="仿宋_GB2312" w:eastAsia="仿宋_GB2312" w:hint="eastAsia"/>
          <w:sz w:val="30"/>
          <w:szCs w:val="30"/>
        </w:rPr>
        <w:t>多大类颜色，每一类颜色又由浅到深十几种。</w:t>
      </w:r>
    </w:p>
    <w:p w:rsidR="00D906DC" w:rsidRPr="00962B09" w:rsidRDefault="00D906DC" w:rsidP="005F3E79">
      <w:pPr>
        <w:adjustRightInd w:val="0"/>
        <w:snapToGrid w:val="0"/>
        <w:spacing w:line="520" w:lineRule="exact"/>
        <w:ind w:firstLineChars="200" w:firstLine="600"/>
        <w:rPr>
          <w:rFonts w:ascii="仿宋_GB2312" w:eastAsia="仿宋_GB2312"/>
          <w:sz w:val="30"/>
          <w:szCs w:val="30"/>
        </w:rPr>
      </w:pPr>
      <w:r w:rsidRPr="00962B09">
        <w:rPr>
          <w:rFonts w:ascii="仿宋_GB2312" w:eastAsia="仿宋_GB2312" w:hint="eastAsia"/>
          <w:sz w:val="30"/>
          <w:szCs w:val="30"/>
        </w:rPr>
        <w:t>此后，曹新华遂以濮凤娟侵害其画作著作权为由诉</w:t>
      </w:r>
      <w:r>
        <w:rPr>
          <w:rFonts w:ascii="仿宋_GB2312" w:eastAsia="仿宋_GB2312" w:hint="eastAsia"/>
          <w:sz w:val="30"/>
          <w:szCs w:val="30"/>
        </w:rPr>
        <w:t>至</w:t>
      </w:r>
      <w:r w:rsidRPr="00962B09">
        <w:rPr>
          <w:rFonts w:ascii="仿宋_GB2312" w:eastAsia="仿宋_GB2312" w:hint="eastAsia"/>
          <w:sz w:val="30"/>
          <w:szCs w:val="30"/>
        </w:rPr>
        <w:t>法院，要求其承担停止侵权、赔偿损失等法律责任。</w:t>
      </w:r>
    </w:p>
    <w:p w:rsidR="00D906DC" w:rsidRPr="00C25487" w:rsidRDefault="00D906DC" w:rsidP="005F3E79">
      <w:pPr>
        <w:adjustRightInd w:val="0"/>
        <w:snapToGrid w:val="0"/>
        <w:spacing w:line="520" w:lineRule="exact"/>
        <w:ind w:firstLineChars="200" w:firstLine="602"/>
        <w:rPr>
          <w:rFonts w:ascii="仿宋_GB2312" w:eastAsia="仿宋_GB2312"/>
          <w:b/>
          <w:bCs/>
          <w:sz w:val="30"/>
          <w:szCs w:val="30"/>
        </w:rPr>
      </w:pPr>
      <w:r w:rsidRPr="00C25487">
        <w:rPr>
          <w:rFonts w:ascii="仿宋_GB2312" w:eastAsia="仿宋_GB2312" w:hint="eastAsia"/>
          <w:b/>
          <w:bCs/>
          <w:sz w:val="30"/>
          <w:szCs w:val="30"/>
        </w:rPr>
        <w:t>【法院认为】</w:t>
      </w:r>
    </w:p>
    <w:p w:rsidR="00D906DC" w:rsidRPr="00962B09" w:rsidRDefault="00D906DC" w:rsidP="005F3E79">
      <w:pPr>
        <w:adjustRightInd w:val="0"/>
        <w:snapToGrid w:val="0"/>
        <w:spacing w:line="520" w:lineRule="exact"/>
        <w:ind w:firstLineChars="200" w:firstLine="600"/>
        <w:rPr>
          <w:rFonts w:ascii="仿宋_GB2312" w:eastAsia="仿宋_GB2312"/>
          <w:sz w:val="30"/>
          <w:szCs w:val="30"/>
        </w:rPr>
      </w:pPr>
      <w:r w:rsidRPr="00962B09">
        <w:rPr>
          <w:rFonts w:ascii="仿宋_GB2312" w:eastAsia="仿宋_GB2312" w:hint="eastAsia"/>
          <w:sz w:val="30"/>
          <w:szCs w:val="30"/>
        </w:rPr>
        <w:t>苏州中院一审认为：</w:t>
      </w:r>
    </w:p>
    <w:p w:rsidR="00D906DC" w:rsidRPr="00962B09" w:rsidRDefault="00D906DC" w:rsidP="005F3E79">
      <w:pPr>
        <w:adjustRightInd w:val="0"/>
        <w:snapToGrid w:val="0"/>
        <w:spacing w:line="520" w:lineRule="exact"/>
        <w:ind w:firstLineChars="200" w:firstLine="600"/>
        <w:rPr>
          <w:rFonts w:ascii="仿宋_GB2312" w:eastAsia="仿宋_GB2312"/>
          <w:sz w:val="30"/>
          <w:szCs w:val="30"/>
        </w:rPr>
      </w:pPr>
      <w:r w:rsidRPr="00962B09">
        <w:rPr>
          <w:rFonts w:ascii="仿宋_GB2312" w:eastAsia="仿宋_GB2312" w:hint="eastAsia"/>
          <w:sz w:val="30"/>
          <w:szCs w:val="30"/>
        </w:rPr>
        <w:t>一、濮凤娟依画制作苏绣行为侵犯了曹新华对《华清浴妃图》作</w:t>
      </w:r>
      <w:r w:rsidRPr="00962B09">
        <w:rPr>
          <w:rFonts w:ascii="仿宋_GB2312" w:eastAsia="仿宋_GB2312" w:hint="eastAsia"/>
          <w:sz w:val="30"/>
          <w:szCs w:val="30"/>
        </w:rPr>
        <w:lastRenderedPageBreak/>
        <w:t>品享有的改编权。改编权，即改变作品，创作出具有独创性的新作品的权利。苏绣是画稿、图案、造型、针法、绣工、色彩、技艺、装裱等多方面的综合体现。苏绣和绘画是两种不同领域不同载体的不同表达方式。尽管有的苏绣以画作作为底稿，但经过绣线、绣层的改编，已经形成新的表达。因此濮凤娟依画制作苏绣并非简单复制，而是属于艺术再创作行为，其实质是对曹新华画作《华清浴妃图》的改编，并非侵犯曹新华涉案作品复制权的行为。</w:t>
      </w:r>
    </w:p>
    <w:p w:rsidR="00D906DC" w:rsidRPr="00962B09" w:rsidRDefault="00D906DC" w:rsidP="005F3E79">
      <w:pPr>
        <w:adjustRightInd w:val="0"/>
        <w:snapToGrid w:val="0"/>
        <w:spacing w:line="520" w:lineRule="exact"/>
        <w:ind w:firstLineChars="200" w:firstLine="600"/>
        <w:rPr>
          <w:rFonts w:ascii="仿宋_GB2312" w:eastAsia="仿宋_GB2312"/>
          <w:sz w:val="30"/>
          <w:szCs w:val="30"/>
        </w:rPr>
      </w:pPr>
      <w:r w:rsidRPr="00962B09">
        <w:rPr>
          <w:rFonts w:ascii="仿宋_GB2312" w:eastAsia="仿宋_GB2312" w:hint="eastAsia"/>
          <w:sz w:val="30"/>
          <w:szCs w:val="30"/>
        </w:rPr>
        <w:t>濮凤娟用多种丝线和各种针法制作苏绣尽管题材来源于工笔画《华清浴妃图》，但苏绣作品明显区别于曹新华的绘画作品，体现了其独创性。一方面，并非所有画作中的颜色均适合作为苏绣创作丝线颜色的定色，苏绣的颜色要比画作丰富许多。比如画作中人物头发的水墨色，苏绣要用黑色、棕色、青灰、黄灰、绿灰</w:t>
      </w:r>
      <w:r w:rsidRPr="00962B09">
        <w:rPr>
          <w:rFonts w:ascii="仿宋_GB2312" w:eastAsia="仿宋_GB2312"/>
          <w:sz w:val="30"/>
          <w:szCs w:val="30"/>
        </w:rPr>
        <w:t>5</w:t>
      </w:r>
      <w:r w:rsidRPr="00962B09">
        <w:rPr>
          <w:rFonts w:ascii="仿宋_GB2312" w:eastAsia="仿宋_GB2312" w:hint="eastAsia"/>
          <w:sz w:val="30"/>
          <w:szCs w:val="30"/>
        </w:rPr>
        <w:t>套色线，每套色线从浅到深</w:t>
      </w:r>
      <w:r w:rsidRPr="00962B09">
        <w:rPr>
          <w:rFonts w:ascii="仿宋_GB2312" w:eastAsia="仿宋_GB2312"/>
          <w:sz w:val="30"/>
          <w:szCs w:val="30"/>
        </w:rPr>
        <w:t>18</w:t>
      </w:r>
      <w:r w:rsidRPr="00962B09">
        <w:rPr>
          <w:rFonts w:ascii="仿宋_GB2312" w:eastAsia="仿宋_GB2312" w:hint="eastAsia"/>
          <w:sz w:val="30"/>
          <w:szCs w:val="30"/>
        </w:rPr>
        <w:t>种颜色来绣制，使得头发的颜色在不同角度的光线下过渡得非常自然，也让直发盘发的纹理质感非常自然；另一方面，不管是绣制花卉还是绣制衣服，都需要绣娘在配色的基础上研究使用不同粗细的“绒、丝、毛”线，再设计丝线排布的方向，通过丰富多彩的颜色和灵活多样的针法体现花卉的灵动、衣服的飘逸和面料的丝光质感，这一过程需要绣娘创造性劳动。濮凤娟将曹新华的工笔画《华清浴妃图》改编成苏绣作品，事先并未获得曹新华许可，且濮凤娟将改编后的绣品用于商业经营也未向曹新华支付报酬，侵犯了曹新华对《华清浴妃图》享有的改编权。</w:t>
      </w:r>
    </w:p>
    <w:p w:rsidR="00D906DC" w:rsidRPr="00962B09" w:rsidRDefault="00D906DC" w:rsidP="005F3E79">
      <w:pPr>
        <w:adjustRightInd w:val="0"/>
        <w:snapToGrid w:val="0"/>
        <w:spacing w:line="520" w:lineRule="exact"/>
        <w:ind w:firstLineChars="200" w:firstLine="600"/>
        <w:rPr>
          <w:rFonts w:ascii="仿宋_GB2312" w:eastAsia="仿宋_GB2312"/>
          <w:sz w:val="30"/>
          <w:szCs w:val="30"/>
        </w:rPr>
      </w:pPr>
      <w:r w:rsidRPr="00962B09">
        <w:rPr>
          <w:rFonts w:ascii="仿宋_GB2312" w:eastAsia="仿宋_GB2312" w:hint="eastAsia"/>
          <w:sz w:val="30"/>
          <w:szCs w:val="30"/>
        </w:rPr>
        <w:t>二、曹新华要求销毁被控《华清浴妃图》绣品的主张不能成立。濮凤娟对于自己的绣品《华清浴妃图》享有著作权，虽然其侵犯了曹新华涉案作品的改编权，但是法律没有对侵犯改编权的作品规定侵权</w:t>
      </w:r>
      <w:r w:rsidRPr="00962B09">
        <w:rPr>
          <w:rFonts w:ascii="仿宋_GB2312" w:eastAsia="仿宋_GB2312" w:hint="eastAsia"/>
          <w:sz w:val="30"/>
          <w:szCs w:val="30"/>
        </w:rPr>
        <w:lastRenderedPageBreak/>
        <w:t>人应承担销毁作品的责任。</w:t>
      </w:r>
    </w:p>
    <w:p w:rsidR="00D906DC" w:rsidRPr="00962B09" w:rsidRDefault="00D906DC" w:rsidP="005F3E79">
      <w:pPr>
        <w:adjustRightInd w:val="0"/>
        <w:snapToGrid w:val="0"/>
        <w:spacing w:line="520" w:lineRule="exact"/>
        <w:ind w:firstLineChars="200" w:firstLine="600"/>
        <w:rPr>
          <w:rFonts w:ascii="仿宋_GB2312" w:eastAsia="仿宋_GB2312"/>
          <w:sz w:val="30"/>
          <w:szCs w:val="30"/>
        </w:rPr>
      </w:pPr>
      <w:r w:rsidRPr="00962B09">
        <w:rPr>
          <w:rFonts w:ascii="仿宋_GB2312" w:eastAsia="仿宋_GB2312" w:hint="eastAsia"/>
          <w:sz w:val="30"/>
          <w:szCs w:val="30"/>
        </w:rPr>
        <w:t>三、濮凤娟应承担停止侵权、消除影响并赔偿损失的法律责任。根据濮凤娟对</w:t>
      </w:r>
      <w:r w:rsidRPr="00962B09">
        <w:rPr>
          <w:rFonts w:ascii="仿宋_GB2312" w:eastAsia="仿宋_GB2312"/>
          <w:sz w:val="30"/>
          <w:szCs w:val="30"/>
        </w:rPr>
        <w:t>70cm*170cm</w:t>
      </w:r>
      <w:r w:rsidRPr="00962B09">
        <w:rPr>
          <w:rFonts w:ascii="仿宋_GB2312" w:eastAsia="仿宋_GB2312" w:hint="eastAsia"/>
          <w:sz w:val="30"/>
          <w:szCs w:val="30"/>
        </w:rPr>
        <w:t>绣品的报价及其他因素，一审法院判决濮凤娟立即停止侵权行为，赔偿曹新华经济损失</w:t>
      </w:r>
      <w:r w:rsidRPr="00962B09">
        <w:rPr>
          <w:rFonts w:ascii="仿宋_GB2312" w:eastAsia="仿宋_GB2312"/>
          <w:sz w:val="30"/>
          <w:szCs w:val="30"/>
        </w:rPr>
        <w:t>22</w:t>
      </w:r>
      <w:r w:rsidRPr="00962B09">
        <w:rPr>
          <w:rFonts w:ascii="仿宋_GB2312" w:eastAsia="仿宋_GB2312" w:hint="eastAsia"/>
          <w:sz w:val="30"/>
          <w:szCs w:val="30"/>
        </w:rPr>
        <w:t>万元，并在《法制日报》上就其涉案侵权行为公开向曹新华赔礼道歉消除影响。</w:t>
      </w:r>
    </w:p>
    <w:p w:rsidR="00D906DC" w:rsidRPr="00962B09" w:rsidRDefault="00D906DC" w:rsidP="005F3E79">
      <w:pPr>
        <w:adjustRightInd w:val="0"/>
        <w:snapToGrid w:val="0"/>
        <w:spacing w:line="520" w:lineRule="exact"/>
        <w:ind w:firstLineChars="200" w:firstLine="600"/>
        <w:rPr>
          <w:rFonts w:ascii="仿宋_GB2312" w:eastAsia="仿宋_GB2312"/>
          <w:sz w:val="30"/>
          <w:szCs w:val="30"/>
        </w:rPr>
      </w:pPr>
      <w:r w:rsidRPr="00962B09">
        <w:rPr>
          <w:rFonts w:ascii="仿宋_GB2312" w:eastAsia="仿宋_GB2312" w:hint="eastAsia"/>
          <w:sz w:val="30"/>
          <w:szCs w:val="30"/>
        </w:rPr>
        <w:t>一审判决后，濮凤娟向江苏省高级人民法院</w:t>
      </w:r>
      <w:r>
        <w:rPr>
          <w:rFonts w:ascii="仿宋_GB2312" w:eastAsia="仿宋_GB2312" w:hint="eastAsia"/>
          <w:sz w:val="30"/>
          <w:szCs w:val="30"/>
        </w:rPr>
        <w:t>提起上诉</w:t>
      </w:r>
      <w:r w:rsidRPr="00962B09">
        <w:rPr>
          <w:rFonts w:ascii="仿宋_GB2312" w:eastAsia="仿宋_GB2312" w:hint="eastAsia"/>
          <w:sz w:val="30"/>
          <w:szCs w:val="30"/>
        </w:rPr>
        <w:t>。</w:t>
      </w:r>
    </w:p>
    <w:p w:rsidR="00D906DC" w:rsidRPr="00962B09" w:rsidRDefault="00D906DC" w:rsidP="005F3E79">
      <w:pPr>
        <w:adjustRightInd w:val="0"/>
        <w:snapToGrid w:val="0"/>
        <w:spacing w:line="520" w:lineRule="exact"/>
        <w:ind w:firstLineChars="200" w:firstLine="600"/>
        <w:rPr>
          <w:rFonts w:ascii="仿宋_GB2312" w:eastAsia="仿宋_GB2312"/>
          <w:sz w:val="30"/>
          <w:szCs w:val="30"/>
        </w:rPr>
      </w:pPr>
      <w:r w:rsidRPr="00962B09">
        <w:rPr>
          <w:rFonts w:ascii="仿宋_GB2312" w:eastAsia="仿宋_GB2312" w:hint="eastAsia"/>
          <w:sz w:val="30"/>
          <w:szCs w:val="30"/>
        </w:rPr>
        <w:t>江苏高院二审认为：</w:t>
      </w:r>
    </w:p>
    <w:p w:rsidR="00D906DC" w:rsidRPr="00962B09" w:rsidRDefault="00D906DC" w:rsidP="005F3E79">
      <w:pPr>
        <w:adjustRightInd w:val="0"/>
        <w:snapToGrid w:val="0"/>
        <w:spacing w:line="520" w:lineRule="exact"/>
        <w:ind w:firstLineChars="200" w:firstLine="600"/>
        <w:rPr>
          <w:rFonts w:ascii="仿宋_GB2312" w:eastAsia="仿宋_GB2312"/>
          <w:sz w:val="30"/>
          <w:szCs w:val="30"/>
        </w:rPr>
      </w:pPr>
      <w:r w:rsidRPr="00962B09">
        <w:rPr>
          <w:rFonts w:ascii="仿宋_GB2312" w:eastAsia="仿宋_GB2312" w:hint="eastAsia"/>
          <w:sz w:val="30"/>
          <w:szCs w:val="30"/>
        </w:rPr>
        <w:t>一、根据现有证据，可以认定濮凤娟绣制并销售了</w:t>
      </w:r>
      <w:r w:rsidRPr="00962B09">
        <w:rPr>
          <w:rFonts w:ascii="仿宋_GB2312" w:eastAsia="仿宋_GB2312"/>
          <w:sz w:val="30"/>
          <w:szCs w:val="30"/>
        </w:rPr>
        <w:t>70cm*170cm</w:t>
      </w:r>
      <w:r w:rsidRPr="00962B09">
        <w:rPr>
          <w:rFonts w:ascii="仿宋_GB2312" w:eastAsia="仿宋_GB2312" w:hint="eastAsia"/>
          <w:sz w:val="30"/>
          <w:szCs w:val="30"/>
        </w:rPr>
        <w:t>的《华清浴妃图》。濮凤娟自己陈述绣制过</w:t>
      </w:r>
      <w:r w:rsidRPr="00962B09">
        <w:rPr>
          <w:rFonts w:ascii="仿宋_GB2312" w:eastAsia="仿宋_GB2312"/>
          <w:sz w:val="30"/>
          <w:szCs w:val="30"/>
        </w:rPr>
        <w:t>70cm*170cm</w:t>
      </w:r>
      <w:r w:rsidRPr="00962B09">
        <w:rPr>
          <w:rFonts w:ascii="仿宋_GB2312" w:eastAsia="仿宋_GB2312" w:hint="eastAsia"/>
          <w:sz w:val="30"/>
          <w:szCs w:val="30"/>
        </w:rPr>
        <w:t>的《华清浴妃图》并销售给启奥公司的施婷婷，销售价格为</w:t>
      </w:r>
      <w:r w:rsidRPr="00962B09">
        <w:rPr>
          <w:rFonts w:ascii="仿宋_GB2312" w:eastAsia="仿宋_GB2312"/>
          <w:sz w:val="30"/>
          <w:szCs w:val="30"/>
        </w:rPr>
        <w:t>80</w:t>
      </w:r>
      <w:r w:rsidRPr="00962B09">
        <w:rPr>
          <w:rFonts w:ascii="仿宋_GB2312" w:eastAsia="仿宋_GB2312" w:hint="eastAsia"/>
          <w:sz w:val="30"/>
          <w:szCs w:val="30"/>
        </w:rPr>
        <w:t>万元，该陈述内容具体明确，且在微信聊天过程中，濮凤娟对</w:t>
      </w:r>
      <w:r w:rsidRPr="00962B09">
        <w:rPr>
          <w:rFonts w:ascii="仿宋_GB2312" w:eastAsia="仿宋_GB2312"/>
          <w:sz w:val="30"/>
          <w:szCs w:val="30"/>
        </w:rPr>
        <w:t>70cm*170cm</w:t>
      </w:r>
      <w:r w:rsidRPr="00962B09">
        <w:rPr>
          <w:rFonts w:ascii="仿宋_GB2312" w:eastAsia="仿宋_GB2312" w:hint="eastAsia"/>
          <w:sz w:val="30"/>
          <w:szCs w:val="30"/>
        </w:rPr>
        <w:t>的《华清浴妃图》报价</w:t>
      </w:r>
      <w:r w:rsidRPr="00962B09">
        <w:rPr>
          <w:rFonts w:ascii="仿宋_GB2312" w:eastAsia="仿宋_GB2312"/>
          <w:sz w:val="30"/>
          <w:szCs w:val="30"/>
        </w:rPr>
        <w:t>86</w:t>
      </w:r>
      <w:r w:rsidRPr="00962B09">
        <w:rPr>
          <w:rFonts w:ascii="仿宋_GB2312" w:eastAsia="仿宋_GB2312" w:hint="eastAsia"/>
          <w:sz w:val="30"/>
          <w:szCs w:val="30"/>
        </w:rPr>
        <w:t>万元，该价格与其此前陈述的</w:t>
      </w:r>
      <w:r w:rsidRPr="00962B09">
        <w:rPr>
          <w:rFonts w:ascii="仿宋_GB2312" w:eastAsia="仿宋_GB2312"/>
          <w:sz w:val="30"/>
          <w:szCs w:val="30"/>
        </w:rPr>
        <w:t>80</w:t>
      </w:r>
      <w:r w:rsidRPr="00962B09">
        <w:rPr>
          <w:rFonts w:ascii="仿宋_GB2312" w:eastAsia="仿宋_GB2312" w:hint="eastAsia"/>
          <w:sz w:val="30"/>
          <w:szCs w:val="30"/>
        </w:rPr>
        <w:t>万元售价亦可相互印证。此外，濮凤娟在其自行印制的宣传册中也有</w:t>
      </w:r>
      <w:r w:rsidRPr="00962B09">
        <w:rPr>
          <w:rFonts w:ascii="仿宋_GB2312" w:eastAsia="仿宋_GB2312"/>
          <w:sz w:val="30"/>
          <w:szCs w:val="30"/>
        </w:rPr>
        <w:t>70cm*170cm</w:t>
      </w:r>
      <w:r w:rsidRPr="00962B09">
        <w:rPr>
          <w:rFonts w:ascii="仿宋_GB2312" w:eastAsia="仿宋_GB2312" w:hint="eastAsia"/>
          <w:sz w:val="30"/>
          <w:szCs w:val="30"/>
        </w:rPr>
        <w:t>的《华清浴妃图》绣品为金奖作品的宣传。因此在濮凤娟未提交任何相反证据的情形下，一审法院依据证据规则，认定濮凤娟绣制并销售了</w:t>
      </w:r>
      <w:r w:rsidRPr="00962B09">
        <w:rPr>
          <w:rFonts w:ascii="仿宋_GB2312" w:eastAsia="仿宋_GB2312"/>
          <w:sz w:val="30"/>
          <w:szCs w:val="30"/>
        </w:rPr>
        <w:t>70cm*170cm</w:t>
      </w:r>
      <w:r w:rsidRPr="00962B09">
        <w:rPr>
          <w:rFonts w:ascii="仿宋_GB2312" w:eastAsia="仿宋_GB2312" w:hint="eastAsia"/>
          <w:sz w:val="30"/>
          <w:szCs w:val="30"/>
        </w:rPr>
        <w:t>的《华清浴妃图》，具有相应的事实和法律依据。</w:t>
      </w:r>
    </w:p>
    <w:p w:rsidR="00D906DC" w:rsidRPr="00962B09" w:rsidRDefault="00D906DC" w:rsidP="005F3E79">
      <w:pPr>
        <w:adjustRightInd w:val="0"/>
        <w:snapToGrid w:val="0"/>
        <w:spacing w:line="520" w:lineRule="exact"/>
        <w:ind w:firstLineChars="200" w:firstLine="600"/>
        <w:rPr>
          <w:rFonts w:ascii="仿宋_GB2312" w:eastAsia="仿宋_GB2312"/>
          <w:sz w:val="30"/>
          <w:szCs w:val="30"/>
        </w:rPr>
      </w:pPr>
      <w:r w:rsidRPr="00962B09">
        <w:rPr>
          <w:rFonts w:ascii="仿宋_GB2312" w:eastAsia="仿宋_GB2312" w:hint="eastAsia"/>
          <w:sz w:val="30"/>
          <w:szCs w:val="30"/>
        </w:rPr>
        <w:t>二、一审法院确定的赔偿额并无不当。首先，虽然苏绣绣品的制作需要绣娘付出再创作劳动，但是绣制内容即绣制画作底稿的选择，仍然对最终的绣品具有很大的影响，选择一副好的适合绣制的画作，是保证后期绣品质量的前提。因此曹新华对画作《华清浴妃图》的创作，对绣品《华清浴妃图》的品质及其销售价格亦存在一定程度的影响。其次，在河南省高级人民法院审理的王信贺案件中，仅是认定了王信贺宣传有绣制</w:t>
      </w:r>
      <w:r w:rsidRPr="00962B09">
        <w:rPr>
          <w:rFonts w:ascii="仿宋_GB2312" w:eastAsia="仿宋_GB2312"/>
          <w:sz w:val="30"/>
          <w:szCs w:val="30"/>
        </w:rPr>
        <w:t>140cm*360cm</w:t>
      </w:r>
      <w:r w:rsidRPr="00962B09">
        <w:rPr>
          <w:rFonts w:ascii="仿宋_GB2312" w:eastAsia="仿宋_GB2312" w:hint="eastAsia"/>
          <w:sz w:val="30"/>
          <w:szCs w:val="30"/>
        </w:rPr>
        <w:t>的《华清浴妃图》，但是通过本案一审查明，该绣品系委托濮凤娟绣制，且目前并无证据证明该</w:t>
      </w:r>
      <w:r w:rsidRPr="00962B09">
        <w:rPr>
          <w:rFonts w:ascii="仿宋_GB2312" w:eastAsia="仿宋_GB2312"/>
          <w:sz w:val="30"/>
          <w:szCs w:val="30"/>
        </w:rPr>
        <w:t>140cm*360cm</w:t>
      </w:r>
      <w:r w:rsidRPr="00962B09">
        <w:rPr>
          <w:rFonts w:ascii="仿宋_GB2312" w:eastAsia="仿宋_GB2312" w:hint="eastAsia"/>
          <w:sz w:val="30"/>
          <w:szCs w:val="30"/>
        </w:rPr>
        <w:lastRenderedPageBreak/>
        <w:t>的《华清浴妃图》已经出售及具体销售价格，因此该判决的赔偿额与本案赔偿额并无直接对应关系。一审法院综合考量了曹新华在绘画行业的知名度、濮凤娟在刺绣行业的知名度、涉案原画作的艺术造诣及市场欢迎度、涉案刺绣作品的独创性程度、刺绣创作演绎所付出的艺术加工以及非物质文化遗产生产性保护等因素，酌情确定濮凤娟支付曹新华经济损失及合理开支共计</w:t>
      </w:r>
      <w:r w:rsidRPr="00962B09">
        <w:rPr>
          <w:rFonts w:ascii="仿宋_GB2312" w:eastAsia="仿宋_GB2312"/>
          <w:sz w:val="30"/>
          <w:szCs w:val="30"/>
        </w:rPr>
        <w:t>22</w:t>
      </w:r>
      <w:r w:rsidRPr="00962B09">
        <w:rPr>
          <w:rFonts w:ascii="仿宋_GB2312" w:eastAsia="仿宋_GB2312" w:hint="eastAsia"/>
          <w:sz w:val="30"/>
          <w:szCs w:val="30"/>
        </w:rPr>
        <w:t>万元，并无不当。</w:t>
      </w:r>
    </w:p>
    <w:p w:rsidR="00D906DC" w:rsidRPr="00962B09" w:rsidRDefault="00D906DC" w:rsidP="005F3E79">
      <w:pPr>
        <w:adjustRightInd w:val="0"/>
        <w:snapToGrid w:val="0"/>
        <w:spacing w:line="520" w:lineRule="exact"/>
        <w:ind w:firstLineChars="200" w:firstLine="600"/>
        <w:rPr>
          <w:rFonts w:ascii="仿宋_GB2312" w:eastAsia="仿宋_GB2312"/>
          <w:sz w:val="30"/>
          <w:szCs w:val="30"/>
        </w:rPr>
      </w:pPr>
      <w:r w:rsidRPr="00962B09">
        <w:rPr>
          <w:rFonts w:ascii="仿宋_GB2312" w:eastAsia="仿宋_GB2312" w:hint="eastAsia"/>
          <w:sz w:val="30"/>
          <w:szCs w:val="30"/>
        </w:rPr>
        <w:t>此外，对于濮凤娟的被控侵权行为是否属于侵犯作品改编权的行为，二审法院认为，改编权是指行为人在依托、借用和保留在先作品已有的基本表达的基础上，通过一定的智力劳动后所形成的具有新的独创性表达的权利。对于侵犯作品改编权的行为而言，在改编人添加了一定程度的、有别于在先作品的、具有独创性的特有表达要素、表达方式、表达效果以后，即便改编作品和在先作品之间仍然存在着“实质性相似”的情形，但是改编作品给予普通受众所呈现出的欣赏体验和感受并不能完全等同于在先作品，亦非对于在先作品进行原样或基本原样“再现”的行为。本案中，曹新华享有著作权的涉案作品《华清浴妃图》为工笔画作品，而被控侵权作品为《华清浴妃图》苏绣作品，虽然后者的题材来源于前者，面向受众时具有结构、人物和色彩等相同表达要素，但是两者并不完全属于同一领域同一类型同一介质的表达，在创作过程中所采用的基本材料、基本技巧、基本手法等方面也有显著差异，面向受众呈现出有所不同的艺术感知和欣赏体验。濮凤娟在《华清浴妃图》工笔画作品的基础上，结合苏绣制品特点和工艺要求，在造型、针法、绣工、色彩、技艺、装裱等方面融入智力活动，采用多套不同颜色丝线，采取灵活多样的针法，在表达介质、表达方式、表达效果上形成了与《华清浴妃图》工笔画作品有着显著</w:t>
      </w:r>
      <w:r w:rsidRPr="00962B09">
        <w:rPr>
          <w:rFonts w:ascii="仿宋_GB2312" w:eastAsia="仿宋_GB2312" w:hint="eastAsia"/>
          <w:sz w:val="30"/>
          <w:szCs w:val="30"/>
        </w:rPr>
        <w:lastRenderedPageBreak/>
        <w:t>区分的、具有独创性的《华清浴妃图》苏绣作品，应属形成新作品的艺术再创作行为，亦系对曹新华《华清浴妃图》工笔画作品的改编行为。在没有获得曹新华许可的情形下，濮凤娟将曹新华的《华清浴妃图》工笔画作品改编成苏绣作品，侵犯了曹新华对《华清浴妃图》依法享有的改编权，并应承担相应的法律责任。</w:t>
      </w:r>
    </w:p>
    <w:p w:rsidR="00D906DC" w:rsidRPr="00962B09" w:rsidRDefault="00D906DC" w:rsidP="005F3E79">
      <w:pPr>
        <w:adjustRightInd w:val="0"/>
        <w:snapToGrid w:val="0"/>
        <w:spacing w:line="520" w:lineRule="exact"/>
        <w:ind w:firstLineChars="200" w:firstLine="600"/>
        <w:rPr>
          <w:rFonts w:ascii="仿宋_GB2312" w:eastAsia="仿宋_GB2312"/>
          <w:sz w:val="30"/>
          <w:szCs w:val="30"/>
        </w:rPr>
      </w:pPr>
      <w:r w:rsidRPr="00962B09">
        <w:rPr>
          <w:rFonts w:ascii="仿宋_GB2312" w:eastAsia="仿宋_GB2312" w:hint="eastAsia"/>
          <w:sz w:val="30"/>
          <w:szCs w:val="30"/>
        </w:rPr>
        <w:t>综上，二审法院对一审判决予以维持。</w:t>
      </w:r>
    </w:p>
    <w:p w:rsidR="00D906DC" w:rsidRPr="00C25487" w:rsidRDefault="00D906DC" w:rsidP="005F3E79">
      <w:pPr>
        <w:adjustRightInd w:val="0"/>
        <w:snapToGrid w:val="0"/>
        <w:spacing w:line="520" w:lineRule="exact"/>
        <w:ind w:firstLineChars="200" w:firstLine="602"/>
        <w:rPr>
          <w:rFonts w:ascii="仿宋_GB2312" w:eastAsia="仿宋_GB2312"/>
          <w:b/>
          <w:bCs/>
          <w:sz w:val="30"/>
          <w:szCs w:val="30"/>
        </w:rPr>
      </w:pPr>
      <w:r w:rsidRPr="00C25487">
        <w:rPr>
          <w:rFonts w:ascii="仿宋_GB2312" w:eastAsia="仿宋_GB2312" w:hint="eastAsia"/>
          <w:b/>
          <w:bCs/>
          <w:sz w:val="30"/>
          <w:szCs w:val="30"/>
        </w:rPr>
        <w:t>【典型意义】</w:t>
      </w:r>
    </w:p>
    <w:p w:rsidR="00D906DC" w:rsidRPr="00962B09" w:rsidRDefault="00D906DC" w:rsidP="005F3E79">
      <w:pPr>
        <w:adjustRightInd w:val="0"/>
        <w:snapToGrid w:val="0"/>
        <w:spacing w:line="520" w:lineRule="exact"/>
        <w:ind w:firstLineChars="200" w:firstLine="600"/>
        <w:rPr>
          <w:rFonts w:ascii="仿宋_GB2312" w:eastAsia="仿宋_GB2312"/>
          <w:sz w:val="30"/>
          <w:szCs w:val="30"/>
        </w:rPr>
      </w:pPr>
      <w:r w:rsidRPr="00962B09">
        <w:rPr>
          <w:rFonts w:ascii="仿宋_GB2312" w:eastAsia="仿宋_GB2312" w:hint="eastAsia"/>
          <w:sz w:val="30"/>
          <w:szCs w:val="30"/>
        </w:rPr>
        <w:t>本案是一起涉及非物质文化遗产苏绣绣品侵权认定的知识产权纠纷。本案判决明晰了绣品与作为绣品绣制基础的底稿之间的关系，兼顾刺绣艺人与底稿作品作者的利益诉求，在依法保护底稿作品著作权的同时，充分肯定和保障了刺绣艺人的刺绣再创作所付出的劳动，为刺绣艺人使用底稿作品明确了规则，有助于进一步促进刺绣传统文化及刺绣产业的健康发展。该案判决</w:t>
      </w:r>
      <w:r>
        <w:rPr>
          <w:rFonts w:ascii="仿宋_GB2312" w:eastAsia="仿宋_GB2312" w:hint="eastAsia"/>
          <w:sz w:val="30"/>
          <w:szCs w:val="30"/>
        </w:rPr>
        <w:t>明确了</w:t>
      </w:r>
      <w:r w:rsidRPr="00962B09">
        <w:rPr>
          <w:rFonts w:ascii="仿宋_GB2312" w:eastAsia="仿宋_GB2312" w:hint="eastAsia"/>
          <w:sz w:val="30"/>
          <w:szCs w:val="30"/>
        </w:rPr>
        <w:t>：</w:t>
      </w:r>
    </w:p>
    <w:p w:rsidR="00D906DC" w:rsidRPr="00962B09" w:rsidRDefault="00D906DC" w:rsidP="005F3E79">
      <w:pPr>
        <w:adjustRightInd w:val="0"/>
        <w:snapToGrid w:val="0"/>
        <w:spacing w:line="520" w:lineRule="exact"/>
        <w:ind w:firstLineChars="200" w:firstLine="600"/>
        <w:rPr>
          <w:rFonts w:ascii="仿宋_GB2312" w:eastAsia="仿宋_GB2312"/>
          <w:sz w:val="30"/>
          <w:szCs w:val="30"/>
        </w:rPr>
      </w:pPr>
      <w:r w:rsidRPr="00962B09">
        <w:rPr>
          <w:rFonts w:ascii="仿宋_GB2312" w:eastAsia="仿宋_GB2312"/>
          <w:sz w:val="30"/>
          <w:szCs w:val="30"/>
        </w:rPr>
        <w:t>1.</w:t>
      </w:r>
      <w:r w:rsidRPr="00962B09">
        <w:rPr>
          <w:rFonts w:ascii="仿宋_GB2312" w:eastAsia="仿宋_GB2312" w:hint="eastAsia"/>
          <w:sz w:val="30"/>
          <w:szCs w:val="30"/>
        </w:rPr>
        <w:t>刺绣艺人对于自身绣品享有著作权。在本案审理之前，未经底稿作品作者同意在底稿基础上绣制的绣品能否产生著作权一直存有争议。判决明确苏绣和绘画是两种不同领域不同载体的表达方式。苏绣是画稿、图案、造型、针法、绣工、色彩、技艺、装裱等多方面的综合体现。即便苏绣作品系以画作为底稿，但经过刺绣艺人对造型、色彩、针法等因素的选择与创作，应当认定为进行了艺术再创作，在表达介质、表达方式、表达效果上形成了与底稿画作有着显著区分的、具有独创性的新作品即绣品。因此，绣品应当享有独立的著作权，受著作权法保护。</w:t>
      </w:r>
    </w:p>
    <w:p w:rsidR="00D906DC" w:rsidRPr="00962B09" w:rsidRDefault="00D906DC" w:rsidP="005F3E79">
      <w:pPr>
        <w:adjustRightInd w:val="0"/>
        <w:snapToGrid w:val="0"/>
        <w:spacing w:line="520" w:lineRule="exact"/>
        <w:ind w:firstLineChars="200" w:firstLine="600"/>
        <w:rPr>
          <w:rFonts w:ascii="仿宋_GB2312" w:eastAsia="仿宋_GB2312"/>
          <w:sz w:val="30"/>
          <w:szCs w:val="30"/>
        </w:rPr>
      </w:pPr>
      <w:r w:rsidRPr="00962B09">
        <w:rPr>
          <w:rFonts w:ascii="仿宋_GB2312" w:eastAsia="仿宋_GB2312"/>
          <w:sz w:val="30"/>
          <w:szCs w:val="30"/>
        </w:rPr>
        <w:t>2.</w:t>
      </w:r>
      <w:r w:rsidRPr="00962B09">
        <w:rPr>
          <w:rFonts w:ascii="仿宋_GB2312" w:eastAsia="仿宋_GB2312" w:hint="eastAsia"/>
          <w:sz w:val="30"/>
          <w:szCs w:val="30"/>
        </w:rPr>
        <w:t>刺绣艺人未经底稿作者同意制作苏绣</w:t>
      </w:r>
      <w:r>
        <w:rPr>
          <w:rFonts w:ascii="仿宋_GB2312" w:eastAsia="仿宋_GB2312" w:hint="eastAsia"/>
          <w:sz w:val="30"/>
          <w:szCs w:val="30"/>
        </w:rPr>
        <w:t>绣品</w:t>
      </w:r>
      <w:r w:rsidRPr="00962B09">
        <w:rPr>
          <w:rFonts w:ascii="仿宋_GB2312" w:eastAsia="仿宋_GB2312" w:hint="eastAsia"/>
          <w:sz w:val="30"/>
          <w:szCs w:val="30"/>
        </w:rPr>
        <w:t>属于侵害他人改编权的行为。判决明确依底稿制作苏绣并非简单复制，而是属于艺术再创</w:t>
      </w:r>
      <w:r w:rsidRPr="00962B09">
        <w:rPr>
          <w:rFonts w:ascii="仿宋_GB2312" w:eastAsia="仿宋_GB2312" w:hint="eastAsia"/>
          <w:sz w:val="30"/>
          <w:szCs w:val="30"/>
        </w:rPr>
        <w:lastRenderedPageBreak/>
        <w:t>作，其实质是对画作作品实施了改编，侵害了他人作品改编权而非复制权。二审判决还指出，在改编人添加了一定程度的、有别于在先作品的、具有独创性的特有表达要素、表达方式、表达效果以后，即便改编作品和在先作品之间仍然存在着“实质性相似”的情形，但是改编作品给予普通受众所呈现出的欣赏体验和感受并不能完全等同于在先作品，亦非对于在先作品原样或基本原样“再现”。</w:t>
      </w:r>
    </w:p>
    <w:p w:rsidR="00D906DC" w:rsidRDefault="00D906DC" w:rsidP="005F3E79">
      <w:pPr>
        <w:adjustRightInd w:val="0"/>
        <w:snapToGrid w:val="0"/>
        <w:spacing w:line="520" w:lineRule="exact"/>
        <w:ind w:firstLineChars="200" w:firstLine="600"/>
        <w:rPr>
          <w:rFonts w:ascii="仿宋_GB2312" w:eastAsia="仿宋_GB2312"/>
          <w:sz w:val="30"/>
          <w:szCs w:val="30"/>
        </w:rPr>
      </w:pPr>
      <w:r w:rsidRPr="00962B09">
        <w:rPr>
          <w:rFonts w:ascii="仿宋_GB2312" w:eastAsia="仿宋_GB2312"/>
          <w:sz w:val="30"/>
          <w:szCs w:val="30"/>
        </w:rPr>
        <w:t>3.</w:t>
      </w:r>
      <w:r w:rsidRPr="00962B09">
        <w:rPr>
          <w:rFonts w:ascii="仿宋_GB2312" w:eastAsia="仿宋_GB2312" w:hint="eastAsia"/>
          <w:sz w:val="30"/>
          <w:szCs w:val="30"/>
        </w:rPr>
        <w:t>要考虑底稿作品在绣品中的价值贡献并参考其他多种因素确定损害赔偿额。本案为审理此类案件确定底稿作品在绣品中的价值比例</w:t>
      </w:r>
      <w:r>
        <w:rPr>
          <w:rFonts w:ascii="仿宋_GB2312" w:eastAsia="仿宋_GB2312" w:hint="eastAsia"/>
          <w:sz w:val="30"/>
          <w:szCs w:val="30"/>
        </w:rPr>
        <w:t>积累</w:t>
      </w:r>
      <w:r w:rsidRPr="00962B09">
        <w:rPr>
          <w:rFonts w:ascii="仿宋_GB2312" w:eastAsia="仿宋_GB2312" w:hint="eastAsia"/>
          <w:sz w:val="30"/>
          <w:szCs w:val="30"/>
        </w:rPr>
        <w:t>了实践经验。法院认为，因绣品制作的特殊性，市场上刺绣大师和普通绣娘的绣品价格悬殊很大，且一幅刺绣作品的价值决定于原画作贡献还是绣娘再创作贡献，不同绣品双方的贡献率</w:t>
      </w:r>
      <w:r>
        <w:rPr>
          <w:rFonts w:ascii="仿宋_GB2312" w:eastAsia="仿宋_GB2312" w:hint="eastAsia"/>
          <w:sz w:val="30"/>
          <w:szCs w:val="30"/>
        </w:rPr>
        <w:t>也</w:t>
      </w:r>
      <w:r w:rsidRPr="00962B09">
        <w:rPr>
          <w:rFonts w:ascii="仿宋_GB2312" w:eastAsia="仿宋_GB2312" w:hint="eastAsia"/>
          <w:sz w:val="30"/>
          <w:szCs w:val="30"/>
        </w:rPr>
        <w:t>是个动态比例。因此，考虑赔偿额时，应该综合考虑画家在绘画界的知名度、绣娘在刺绣行业的知名度、涉案原画作的艺术造诣及市场欢迎度、涉案刺绣作品的独创性程度、刺绣创作演绎所付出的艺术创造性劳动以及非物质文化遗产生产性保护等因素。</w:t>
      </w:r>
    </w:p>
    <w:p w:rsidR="001C7413" w:rsidRPr="00F13510" w:rsidRDefault="001C7413" w:rsidP="001C7413">
      <w:pPr>
        <w:widowControl/>
        <w:jc w:val="left"/>
        <w:rPr>
          <w:rFonts w:ascii="仿宋_GB2312" w:eastAsia="仿宋_GB2312" w:hAnsi="Calibri"/>
          <w:b/>
          <w:sz w:val="32"/>
          <w:szCs w:val="32"/>
        </w:rPr>
      </w:pPr>
      <w:r>
        <w:rPr>
          <w:rFonts w:ascii="仿宋_GB2312" w:eastAsia="仿宋_GB2312" w:hAnsi="Calibri"/>
          <w:b/>
          <w:sz w:val="32"/>
          <w:szCs w:val="32"/>
        </w:rPr>
        <w:br w:type="page"/>
      </w:r>
      <w:r w:rsidRPr="00D92AF6">
        <w:rPr>
          <w:rFonts w:ascii="仿宋_GB2312" w:eastAsia="仿宋_GB2312" w:hAnsi="Calibri" w:hint="eastAsia"/>
          <w:b/>
          <w:sz w:val="32"/>
          <w:szCs w:val="32"/>
        </w:rPr>
        <w:lastRenderedPageBreak/>
        <w:t>曹新华工笔画《华清浴妃图》</w:t>
      </w:r>
    </w:p>
    <w:p w:rsidR="001C7413" w:rsidRPr="00D92AF6" w:rsidRDefault="008E3AEC" w:rsidP="001C7413">
      <w:pPr>
        <w:rPr>
          <w:rFonts w:ascii="Calibri" w:hAnsi="Calibri"/>
          <w:szCs w:val="22"/>
        </w:rPr>
      </w:pPr>
      <w:r w:rsidRPr="008906E9">
        <w:rPr>
          <w:rFonts w:ascii="Calibri" w:hAnsi="Calibri"/>
          <w:noProof/>
          <w:szCs w:val="22"/>
        </w:rPr>
        <w:pict>
          <v:shape id="_x0000_i1033" type="#_x0000_t75" alt="说明: D:\用户目录\我的文档\Downloads\caoxinhua2 (1).JPG" style="width:416.1pt;height:163.65pt;visibility:visible;mso-wrap-style:square">
            <v:imagedata r:id="rId20" o:title="caoxinhua2 (1)"/>
          </v:shape>
        </w:pict>
      </w:r>
    </w:p>
    <w:p w:rsidR="001C7413" w:rsidRDefault="001C7413" w:rsidP="001C7413">
      <w:pPr>
        <w:rPr>
          <w:rFonts w:ascii="仿宋_GB2312" w:eastAsia="仿宋_GB2312" w:hAnsi="Calibri"/>
          <w:b/>
          <w:sz w:val="32"/>
          <w:szCs w:val="32"/>
        </w:rPr>
      </w:pPr>
    </w:p>
    <w:p w:rsidR="001C7413" w:rsidRDefault="001C7413" w:rsidP="001C7413">
      <w:pPr>
        <w:rPr>
          <w:rFonts w:ascii="仿宋_GB2312" w:eastAsia="仿宋_GB2312" w:hAnsi="Calibri"/>
          <w:b/>
          <w:sz w:val="32"/>
          <w:szCs w:val="32"/>
        </w:rPr>
      </w:pPr>
    </w:p>
    <w:p w:rsidR="001C7413" w:rsidRDefault="001C7413" w:rsidP="001C7413">
      <w:pPr>
        <w:rPr>
          <w:rFonts w:ascii="仿宋_GB2312" w:eastAsia="仿宋_GB2312" w:hAnsi="Calibri"/>
          <w:b/>
          <w:sz w:val="32"/>
          <w:szCs w:val="32"/>
        </w:rPr>
      </w:pPr>
      <w:r w:rsidRPr="00D92AF6">
        <w:rPr>
          <w:rFonts w:ascii="仿宋_GB2312" w:eastAsia="仿宋_GB2312" w:hAnsi="Calibri" w:hint="eastAsia"/>
          <w:b/>
          <w:sz w:val="32"/>
          <w:szCs w:val="32"/>
        </w:rPr>
        <w:t>濮凤娟苏绣《华清浴妃图》</w:t>
      </w:r>
    </w:p>
    <w:p w:rsidR="001C7413" w:rsidRPr="00D92AF6" w:rsidRDefault="008906E9" w:rsidP="001C7413">
      <w:pPr>
        <w:rPr>
          <w:rFonts w:ascii="仿宋_GB2312" w:eastAsia="仿宋_GB2312" w:hAnsi="Calibri"/>
          <w:b/>
          <w:sz w:val="32"/>
          <w:szCs w:val="32"/>
        </w:rPr>
      </w:pPr>
      <w:r w:rsidRPr="008906E9">
        <w:rPr>
          <w:noProof/>
        </w:rPr>
        <w:pict>
          <v:shape id="图片 3" o:spid="_x0000_s1080" type="#_x0000_t75" style="position:absolute;left:0;text-align:left;margin-left:.1pt;margin-top:2.55pt;width:414.85pt;height:175.05pt;z-index:251657216;visibility:visible">
            <v:imagedata r:id="rId21" o:title=""/>
          </v:shape>
        </w:pict>
      </w:r>
    </w:p>
    <w:p w:rsidR="001C7413" w:rsidRPr="00D92AF6" w:rsidRDefault="001C7413" w:rsidP="001C7413">
      <w:pPr>
        <w:rPr>
          <w:rFonts w:ascii="Calibri" w:hAnsi="Calibri"/>
          <w:szCs w:val="22"/>
        </w:rPr>
      </w:pPr>
    </w:p>
    <w:p w:rsidR="001C7413" w:rsidRDefault="001C7413" w:rsidP="001C7413">
      <w:pPr>
        <w:spacing w:line="560" w:lineRule="exact"/>
        <w:rPr>
          <w:rFonts w:ascii="仿宋_GB2312" w:eastAsia="仿宋_GB2312"/>
          <w:sz w:val="32"/>
          <w:szCs w:val="32"/>
        </w:rPr>
      </w:pPr>
    </w:p>
    <w:p w:rsidR="001C7413" w:rsidRDefault="001C7413" w:rsidP="001C7413">
      <w:pPr>
        <w:snapToGrid w:val="0"/>
        <w:spacing w:line="317" w:lineRule="auto"/>
        <w:jc w:val="left"/>
        <w:rPr>
          <w:rFonts w:ascii="仿宋_GB2312" w:eastAsia="仿宋_GB2312" w:hAnsi="宋体"/>
          <w:sz w:val="32"/>
          <w:szCs w:val="32"/>
        </w:rPr>
      </w:pPr>
    </w:p>
    <w:p w:rsidR="001C7413" w:rsidRPr="003368BF" w:rsidRDefault="001C7413" w:rsidP="001C7413">
      <w:pPr>
        <w:adjustRightInd w:val="0"/>
        <w:snapToGrid w:val="0"/>
        <w:spacing w:line="520" w:lineRule="exact"/>
        <w:ind w:firstLineChars="200" w:firstLine="600"/>
        <w:rPr>
          <w:rFonts w:ascii="楷体" w:eastAsia="楷体" w:hAnsi="楷体"/>
          <w:sz w:val="30"/>
          <w:szCs w:val="30"/>
        </w:rPr>
      </w:pPr>
    </w:p>
    <w:p w:rsidR="001C7413" w:rsidRPr="001C7413" w:rsidRDefault="001C7413" w:rsidP="001C7413">
      <w:pPr>
        <w:adjustRightInd w:val="0"/>
        <w:snapToGrid w:val="0"/>
        <w:spacing w:line="520" w:lineRule="exact"/>
        <w:rPr>
          <w:rFonts w:ascii="仿宋_GB2312" w:eastAsia="仿宋_GB2312"/>
          <w:sz w:val="30"/>
          <w:szCs w:val="30"/>
        </w:rPr>
      </w:pPr>
    </w:p>
    <w:p w:rsidR="00D906DC" w:rsidRPr="007411FC" w:rsidRDefault="00D906DC" w:rsidP="00E711DA">
      <w:pPr>
        <w:pStyle w:val="1"/>
      </w:pPr>
      <w:r>
        <w:br w:type="page"/>
      </w:r>
      <w:bookmarkStart w:id="6" w:name="_Toc38029047"/>
      <w:r>
        <w:lastRenderedPageBreak/>
        <w:t>3.</w:t>
      </w:r>
      <w:r w:rsidRPr="007411FC">
        <w:rPr>
          <w:rFonts w:hint="eastAsia"/>
        </w:rPr>
        <w:t>涉百度网盘侵害作品信息网络传播权认定案</w:t>
      </w:r>
      <w:bookmarkEnd w:id="6"/>
    </w:p>
    <w:p w:rsidR="00D906DC" w:rsidRPr="00AF0159" w:rsidRDefault="00D906DC" w:rsidP="00E711DA">
      <w:pPr>
        <w:pStyle w:val="2"/>
      </w:pPr>
      <w:bookmarkStart w:id="7" w:name="_Toc38029048"/>
      <w:r>
        <w:t>——</w:t>
      </w:r>
      <w:r w:rsidRPr="00AF0159">
        <w:rPr>
          <w:rFonts w:hint="eastAsia"/>
        </w:rPr>
        <w:t>北京焦点互动信息服务有限公司南京分公司诉北京百度网讯科技有限公司侵害信息网络传播权纠纷案</w:t>
      </w:r>
      <w:bookmarkEnd w:id="7"/>
    </w:p>
    <w:p w:rsidR="00D906DC" w:rsidRPr="00AF0159" w:rsidRDefault="00D906DC" w:rsidP="005F3E79">
      <w:pPr>
        <w:adjustRightInd w:val="0"/>
        <w:snapToGrid w:val="0"/>
        <w:spacing w:line="520" w:lineRule="exact"/>
        <w:ind w:firstLineChars="200" w:firstLine="600"/>
        <w:rPr>
          <w:rFonts w:ascii="仿宋_GB2312" w:eastAsia="仿宋_GB2312"/>
          <w:sz w:val="30"/>
          <w:szCs w:val="30"/>
        </w:rPr>
      </w:pPr>
    </w:p>
    <w:p w:rsidR="00D906DC" w:rsidRPr="007411FC" w:rsidRDefault="00D906DC" w:rsidP="005F3E79">
      <w:pPr>
        <w:adjustRightInd w:val="0"/>
        <w:snapToGrid w:val="0"/>
        <w:spacing w:line="520" w:lineRule="exact"/>
        <w:ind w:firstLineChars="200" w:firstLine="602"/>
        <w:rPr>
          <w:rFonts w:ascii="仿宋_GB2312" w:eastAsia="仿宋_GB2312"/>
          <w:b/>
          <w:bCs/>
          <w:sz w:val="30"/>
          <w:szCs w:val="30"/>
        </w:rPr>
      </w:pPr>
      <w:r w:rsidRPr="007411FC">
        <w:rPr>
          <w:rFonts w:ascii="仿宋_GB2312" w:eastAsia="仿宋_GB2312" w:hint="eastAsia"/>
          <w:b/>
          <w:bCs/>
          <w:sz w:val="30"/>
          <w:szCs w:val="30"/>
        </w:rPr>
        <w:t>【案件信息】</w:t>
      </w:r>
    </w:p>
    <w:p w:rsidR="00D906DC" w:rsidRPr="00AF0159" w:rsidRDefault="00D906DC" w:rsidP="005F3E79">
      <w:pPr>
        <w:adjustRightInd w:val="0"/>
        <w:snapToGrid w:val="0"/>
        <w:spacing w:line="520" w:lineRule="exact"/>
        <w:ind w:firstLineChars="200" w:firstLine="600"/>
        <w:rPr>
          <w:rFonts w:ascii="仿宋_GB2312" w:eastAsia="仿宋_GB2312"/>
          <w:sz w:val="30"/>
          <w:szCs w:val="30"/>
        </w:rPr>
      </w:pPr>
      <w:r w:rsidRPr="00AF0159">
        <w:rPr>
          <w:rFonts w:ascii="仿宋_GB2312" w:eastAsia="仿宋_GB2312" w:hint="eastAsia"/>
          <w:sz w:val="30"/>
          <w:szCs w:val="30"/>
        </w:rPr>
        <w:t>案号：南京中院（</w:t>
      </w:r>
      <w:r w:rsidRPr="00AF0159">
        <w:rPr>
          <w:rFonts w:ascii="仿宋_GB2312" w:eastAsia="仿宋_GB2312"/>
          <w:sz w:val="30"/>
          <w:szCs w:val="30"/>
        </w:rPr>
        <w:t>2017</w:t>
      </w:r>
      <w:r w:rsidRPr="00AF0159">
        <w:rPr>
          <w:rFonts w:ascii="仿宋_GB2312" w:eastAsia="仿宋_GB2312" w:hint="eastAsia"/>
          <w:sz w:val="30"/>
          <w:szCs w:val="30"/>
        </w:rPr>
        <w:t>）苏</w:t>
      </w:r>
      <w:r w:rsidRPr="00AF0159">
        <w:rPr>
          <w:rFonts w:ascii="仿宋_GB2312" w:eastAsia="仿宋_GB2312"/>
          <w:sz w:val="30"/>
          <w:szCs w:val="30"/>
        </w:rPr>
        <w:t>01</w:t>
      </w:r>
      <w:r w:rsidRPr="00AF0159">
        <w:rPr>
          <w:rFonts w:ascii="仿宋_GB2312" w:eastAsia="仿宋_GB2312" w:hint="eastAsia"/>
          <w:sz w:val="30"/>
          <w:szCs w:val="30"/>
        </w:rPr>
        <w:t>民初</w:t>
      </w:r>
      <w:r w:rsidRPr="00AF0159">
        <w:rPr>
          <w:rFonts w:ascii="仿宋_GB2312" w:eastAsia="仿宋_GB2312"/>
          <w:sz w:val="30"/>
          <w:szCs w:val="30"/>
        </w:rPr>
        <w:t>2340</w:t>
      </w:r>
      <w:r w:rsidRPr="00AF0159">
        <w:rPr>
          <w:rFonts w:ascii="仿宋_GB2312" w:eastAsia="仿宋_GB2312" w:hint="eastAsia"/>
          <w:sz w:val="30"/>
          <w:szCs w:val="30"/>
        </w:rPr>
        <w:t>号</w:t>
      </w:r>
    </w:p>
    <w:p w:rsidR="00D906DC" w:rsidRPr="00AF0159" w:rsidRDefault="00D906DC" w:rsidP="005F3E79">
      <w:pPr>
        <w:adjustRightInd w:val="0"/>
        <w:snapToGrid w:val="0"/>
        <w:spacing w:line="520" w:lineRule="exact"/>
        <w:ind w:firstLineChars="500" w:firstLine="1500"/>
        <w:rPr>
          <w:rFonts w:ascii="仿宋_GB2312" w:eastAsia="仿宋_GB2312"/>
          <w:sz w:val="30"/>
          <w:szCs w:val="30"/>
        </w:rPr>
      </w:pPr>
      <w:r w:rsidRPr="00AF0159">
        <w:rPr>
          <w:rFonts w:ascii="仿宋_GB2312" w:eastAsia="仿宋_GB2312" w:hint="eastAsia"/>
          <w:sz w:val="30"/>
          <w:szCs w:val="30"/>
        </w:rPr>
        <w:t>江苏高院（</w:t>
      </w:r>
      <w:r w:rsidRPr="00AF0159">
        <w:rPr>
          <w:rFonts w:ascii="仿宋_GB2312" w:eastAsia="仿宋_GB2312"/>
          <w:sz w:val="30"/>
          <w:szCs w:val="30"/>
        </w:rPr>
        <w:t>2018</w:t>
      </w:r>
      <w:r w:rsidRPr="00AF0159">
        <w:rPr>
          <w:rFonts w:ascii="仿宋_GB2312" w:eastAsia="仿宋_GB2312" w:hint="eastAsia"/>
          <w:sz w:val="30"/>
          <w:szCs w:val="30"/>
        </w:rPr>
        <w:t>）苏民终</w:t>
      </w:r>
      <w:r w:rsidRPr="00AF0159">
        <w:rPr>
          <w:rFonts w:ascii="仿宋_GB2312" w:eastAsia="仿宋_GB2312"/>
          <w:sz w:val="30"/>
          <w:szCs w:val="30"/>
        </w:rPr>
        <w:t>1514</w:t>
      </w:r>
      <w:r w:rsidRPr="00AF0159">
        <w:rPr>
          <w:rFonts w:ascii="仿宋_GB2312" w:eastAsia="仿宋_GB2312" w:hint="eastAsia"/>
          <w:sz w:val="30"/>
          <w:szCs w:val="30"/>
        </w:rPr>
        <w:t>号</w:t>
      </w:r>
    </w:p>
    <w:p w:rsidR="00D906DC" w:rsidRPr="00AF0159" w:rsidRDefault="00D906DC" w:rsidP="005F3E79">
      <w:pPr>
        <w:adjustRightInd w:val="0"/>
        <w:snapToGrid w:val="0"/>
        <w:spacing w:line="520" w:lineRule="exact"/>
        <w:ind w:firstLineChars="200" w:firstLine="600"/>
        <w:rPr>
          <w:rFonts w:ascii="仿宋_GB2312" w:eastAsia="仿宋_GB2312"/>
          <w:sz w:val="30"/>
          <w:szCs w:val="30"/>
        </w:rPr>
      </w:pPr>
      <w:r w:rsidRPr="00AF0159">
        <w:rPr>
          <w:rFonts w:ascii="仿宋_GB2312" w:eastAsia="仿宋_GB2312" w:hint="eastAsia"/>
          <w:sz w:val="30"/>
          <w:szCs w:val="30"/>
        </w:rPr>
        <w:t>原告：北京焦点互动信息服务有限公司南京分公司</w:t>
      </w:r>
    </w:p>
    <w:p w:rsidR="00D906DC" w:rsidRPr="00AF0159" w:rsidRDefault="00D906DC" w:rsidP="005F3E79">
      <w:pPr>
        <w:adjustRightInd w:val="0"/>
        <w:snapToGrid w:val="0"/>
        <w:spacing w:line="520" w:lineRule="exact"/>
        <w:ind w:firstLineChars="200" w:firstLine="600"/>
        <w:rPr>
          <w:rFonts w:ascii="仿宋_GB2312" w:eastAsia="仿宋_GB2312"/>
          <w:sz w:val="30"/>
          <w:szCs w:val="30"/>
        </w:rPr>
      </w:pPr>
      <w:r w:rsidRPr="00AF0159">
        <w:rPr>
          <w:rFonts w:ascii="仿宋_GB2312" w:eastAsia="仿宋_GB2312" w:hint="eastAsia"/>
          <w:sz w:val="30"/>
          <w:szCs w:val="30"/>
        </w:rPr>
        <w:t>被告：北京百度网讯科技有限公司</w:t>
      </w:r>
    </w:p>
    <w:p w:rsidR="00D906DC" w:rsidRPr="007411FC" w:rsidRDefault="00D906DC" w:rsidP="005F3E79">
      <w:pPr>
        <w:adjustRightInd w:val="0"/>
        <w:snapToGrid w:val="0"/>
        <w:spacing w:line="520" w:lineRule="exact"/>
        <w:ind w:firstLineChars="200" w:firstLine="602"/>
        <w:rPr>
          <w:rFonts w:ascii="仿宋_GB2312" w:eastAsia="仿宋_GB2312"/>
          <w:b/>
          <w:bCs/>
          <w:sz w:val="30"/>
          <w:szCs w:val="30"/>
        </w:rPr>
      </w:pPr>
      <w:r w:rsidRPr="007411FC">
        <w:rPr>
          <w:rFonts w:ascii="仿宋_GB2312" w:eastAsia="仿宋_GB2312" w:hint="eastAsia"/>
          <w:b/>
          <w:bCs/>
          <w:sz w:val="30"/>
          <w:szCs w:val="30"/>
        </w:rPr>
        <w:t>【裁判要旨】</w:t>
      </w:r>
    </w:p>
    <w:p w:rsidR="00D906DC" w:rsidRPr="00AF0159" w:rsidRDefault="00D906DC" w:rsidP="005F3E79">
      <w:pPr>
        <w:adjustRightInd w:val="0"/>
        <w:snapToGrid w:val="0"/>
        <w:spacing w:line="520" w:lineRule="exact"/>
        <w:ind w:firstLineChars="200" w:firstLine="600"/>
        <w:rPr>
          <w:rFonts w:ascii="仿宋_GB2312" w:eastAsia="仿宋_GB2312"/>
          <w:sz w:val="30"/>
          <w:szCs w:val="30"/>
        </w:rPr>
      </w:pPr>
      <w:r w:rsidRPr="00AF0159">
        <w:rPr>
          <w:rFonts w:ascii="仿宋_GB2312" w:eastAsia="仿宋_GB2312"/>
          <w:sz w:val="30"/>
          <w:szCs w:val="30"/>
        </w:rPr>
        <w:t>1.</w:t>
      </w:r>
      <w:r w:rsidRPr="00AF0159">
        <w:rPr>
          <w:rFonts w:ascii="仿宋_GB2312" w:eastAsia="仿宋_GB2312" w:hint="eastAsia"/>
          <w:sz w:val="30"/>
          <w:szCs w:val="30"/>
        </w:rPr>
        <w:t>尽管网盘、云盘具备的分享、离线下载、秒传等相关功能可以被用于实施侵权传播行为，在网络服务提供商无过错或未直接实施侵权传播行为的情形下，其提供秒传、分享、在线播放等技术功能的行为不构成侵权。</w:t>
      </w:r>
    </w:p>
    <w:p w:rsidR="00D906DC" w:rsidRPr="00AF0159" w:rsidRDefault="00D906DC" w:rsidP="005F3E79">
      <w:pPr>
        <w:adjustRightInd w:val="0"/>
        <w:snapToGrid w:val="0"/>
        <w:spacing w:line="520" w:lineRule="exact"/>
        <w:ind w:firstLineChars="200" w:firstLine="600"/>
        <w:rPr>
          <w:rFonts w:ascii="仿宋_GB2312" w:eastAsia="仿宋_GB2312"/>
          <w:sz w:val="30"/>
          <w:szCs w:val="30"/>
        </w:rPr>
      </w:pPr>
      <w:r w:rsidRPr="00AF0159">
        <w:rPr>
          <w:rFonts w:ascii="仿宋_GB2312" w:eastAsia="仿宋_GB2312"/>
          <w:sz w:val="30"/>
          <w:szCs w:val="30"/>
        </w:rPr>
        <w:t>2.</w:t>
      </w:r>
      <w:r w:rsidRPr="00AF0159">
        <w:rPr>
          <w:rFonts w:ascii="仿宋_GB2312" w:eastAsia="仿宋_GB2312" w:hint="eastAsia"/>
          <w:sz w:val="30"/>
          <w:szCs w:val="30"/>
        </w:rPr>
        <w:t>权利人发出的通知，至少应当使被通知方清晰了解作品的权利状态，同时能够方便快捷地关联并提取投诉人的投诉内容，可以初步获知、定位被投诉侵权行为的实施主体、行为客观形态，否则不构成有效通知。</w:t>
      </w:r>
    </w:p>
    <w:p w:rsidR="00D906DC" w:rsidRPr="00AF0159" w:rsidRDefault="00D906DC" w:rsidP="005F3E79">
      <w:pPr>
        <w:adjustRightInd w:val="0"/>
        <w:snapToGrid w:val="0"/>
        <w:spacing w:line="520" w:lineRule="exact"/>
        <w:ind w:firstLineChars="200" w:firstLine="600"/>
        <w:rPr>
          <w:rFonts w:ascii="仿宋_GB2312" w:eastAsia="仿宋_GB2312"/>
          <w:sz w:val="30"/>
          <w:szCs w:val="30"/>
        </w:rPr>
      </w:pPr>
      <w:r w:rsidRPr="00AF0159">
        <w:rPr>
          <w:rFonts w:ascii="仿宋_GB2312" w:eastAsia="仿宋_GB2312"/>
          <w:sz w:val="30"/>
          <w:szCs w:val="30"/>
        </w:rPr>
        <w:t>3.</w:t>
      </w:r>
      <w:r w:rsidRPr="00AF0159">
        <w:rPr>
          <w:rFonts w:ascii="仿宋_GB2312" w:eastAsia="仿宋_GB2312" w:hint="eastAsia"/>
          <w:sz w:val="30"/>
          <w:szCs w:val="30"/>
        </w:rPr>
        <w:t>对作品信息网络传播权的保护，应当注意平衡信息存储空间网络服务提供者、信息存储空间网络使用者（网络用户）、作品权利人三方主体之间的利益，综合考虑作品传播行为形态、平台注意义务、用户合理使用等因素，合理确定信息网络传播权的保护边界。</w:t>
      </w:r>
    </w:p>
    <w:p w:rsidR="00D906DC" w:rsidRPr="007411FC" w:rsidRDefault="00D906DC" w:rsidP="005F3E79">
      <w:pPr>
        <w:adjustRightInd w:val="0"/>
        <w:snapToGrid w:val="0"/>
        <w:spacing w:line="520" w:lineRule="exact"/>
        <w:ind w:firstLineChars="200" w:firstLine="602"/>
        <w:rPr>
          <w:rFonts w:ascii="仿宋_GB2312" w:eastAsia="仿宋_GB2312"/>
          <w:b/>
          <w:bCs/>
          <w:sz w:val="30"/>
          <w:szCs w:val="30"/>
        </w:rPr>
      </w:pPr>
      <w:r w:rsidRPr="007411FC">
        <w:rPr>
          <w:rFonts w:ascii="仿宋_GB2312" w:eastAsia="仿宋_GB2312" w:hint="eastAsia"/>
          <w:b/>
          <w:bCs/>
          <w:sz w:val="30"/>
          <w:szCs w:val="30"/>
        </w:rPr>
        <w:t>【基本案情】</w:t>
      </w:r>
    </w:p>
    <w:p w:rsidR="00D906DC" w:rsidRPr="00AF0159" w:rsidRDefault="00D906DC" w:rsidP="005F3E79">
      <w:pPr>
        <w:tabs>
          <w:tab w:val="left" w:pos="2694"/>
        </w:tabs>
        <w:adjustRightInd w:val="0"/>
        <w:snapToGrid w:val="0"/>
        <w:spacing w:line="520" w:lineRule="exact"/>
        <w:ind w:firstLineChars="200" w:firstLine="600"/>
        <w:rPr>
          <w:rFonts w:ascii="仿宋_GB2312" w:eastAsia="仿宋_GB2312"/>
          <w:sz w:val="30"/>
          <w:szCs w:val="30"/>
        </w:rPr>
      </w:pPr>
      <w:r w:rsidRPr="00AF0159">
        <w:rPr>
          <w:rFonts w:ascii="仿宋_GB2312" w:eastAsia="仿宋_GB2312" w:hint="eastAsia"/>
          <w:sz w:val="30"/>
          <w:szCs w:val="30"/>
        </w:rPr>
        <w:t>北京焦点互动信息服务有限公司南京分公司</w:t>
      </w:r>
      <w:r>
        <w:rPr>
          <w:rFonts w:ascii="仿宋_GB2312" w:eastAsia="仿宋_GB2312" w:hint="eastAsia"/>
          <w:sz w:val="30"/>
          <w:szCs w:val="30"/>
        </w:rPr>
        <w:t>（以下简称</w:t>
      </w:r>
      <w:r w:rsidRPr="00AF0159">
        <w:rPr>
          <w:rFonts w:ascii="仿宋_GB2312" w:eastAsia="仿宋_GB2312" w:hint="eastAsia"/>
          <w:sz w:val="30"/>
          <w:szCs w:val="30"/>
        </w:rPr>
        <w:t>焦点南京</w:t>
      </w:r>
      <w:r w:rsidRPr="00AF0159">
        <w:rPr>
          <w:rFonts w:ascii="仿宋_GB2312" w:eastAsia="仿宋_GB2312" w:hint="eastAsia"/>
          <w:sz w:val="30"/>
          <w:szCs w:val="30"/>
        </w:rPr>
        <w:lastRenderedPageBreak/>
        <w:t>分公司</w:t>
      </w:r>
      <w:r>
        <w:rPr>
          <w:rFonts w:ascii="仿宋_GB2312" w:eastAsia="仿宋_GB2312" w:hint="eastAsia"/>
          <w:sz w:val="30"/>
          <w:szCs w:val="30"/>
        </w:rPr>
        <w:t>）</w:t>
      </w:r>
      <w:r w:rsidRPr="00AF0159">
        <w:rPr>
          <w:rFonts w:ascii="仿宋_GB2312" w:eastAsia="仿宋_GB2312" w:hint="eastAsia"/>
          <w:sz w:val="30"/>
          <w:szCs w:val="30"/>
        </w:rPr>
        <w:t>获得《匆匆那年》影视作品信息网络传播权的独占授权。</w:t>
      </w:r>
      <w:r w:rsidRPr="00AF0159">
        <w:rPr>
          <w:rFonts w:ascii="仿宋_GB2312" w:eastAsia="仿宋_GB2312"/>
          <w:sz w:val="30"/>
          <w:szCs w:val="30"/>
        </w:rPr>
        <w:t>2017</w:t>
      </w:r>
      <w:r w:rsidRPr="00AF0159">
        <w:rPr>
          <w:rFonts w:ascii="仿宋_GB2312" w:eastAsia="仿宋_GB2312" w:hint="eastAsia"/>
          <w:sz w:val="30"/>
          <w:szCs w:val="30"/>
        </w:rPr>
        <w:t>年</w:t>
      </w:r>
      <w:r w:rsidRPr="00AF0159">
        <w:rPr>
          <w:rFonts w:ascii="仿宋_GB2312" w:eastAsia="仿宋_GB2312"/>
          <w:sz w:val="30"/>
          <w:szCs w:val="30"/>
        </w:rPr>
        <w:t>3</w:t>
      </w:r>
      <w:r w:rsidRPr="00AF0159">
        <w:rPr>
          <w:rFonts w:ascii="仿宋_GB2312" w:eastAsia="仿宋_GB2312" w:hint="eastAsia"/>
          <w:sz w:val="30"/>
          <w:szCs w:val="30"/>
        </w:rPr>
        <w:t>月</w:t>
      </w:r>
      <w:r>
        <w:rPr>
          <w:rFonts w:ascii="仿宋_GB2312" w:eastAsia="仿宋_GB2312" w:hint="eastAsia"/>
          <w:sz w:val="30"/>
          <w:szCs w:val="30"/>
        </w:rPr>
        <w:t>～</w:t>
      </w:r>
      <w:r w:rsidRPr="00AF0159">
        <w:rPr>
          <w:rFonts w:ascii="仿宋_GB2312" w:eastAsia="仿宋_GB2312"/>
          <w:sz w:val="30"/>
          <w:szCs w:val="30"/>
        </w:rPr>
        <w:t>12</w:t>
      </w:r>
      <w:r w:rsidRPr="00AF0159">
        <w:rPr>
          <w:rFonts w:ascii="仿宋_GB2312" w:eastAsia="仿宋_GB2312" w:hint="eastAsia"/>
          <w:sz w:val="30"/>
          <w:szCs w:val="30"/>
        </w:rPr>
        <w:t>月之间，焦点南京分公司通过多份公证书证明北京百度网讯科技有限公司</w:t>
      </w:r>
      <w:r>
        <w:rPr>
          <w:rFonts w:ascii="仿宋_GB2312" w:eastAsia="仿宋_GB2312" w:hint="eastAsia"/>
          <w:sz w:val="30"/>
          <w:szCs w:val="30"/>
        </w:rPr>
        <w:t>（以下简称</w:t>
      </w:r>
      <w:r w:rsidRPr="00AF0159">
        <w:rPr>
          <w:rFonts w:ascii="仿宋_GB2312" w:eastAsia="仿宋_GB2312" w:hint="eastAsia"/>
          <w:sz w:val="30"/>
          <w:szCs w:val="30"/>
        </w:rPr>
        <w:t>百度公司</w:t>
      </w:r>
      <w:r>
        <w:rPr>
          <w:rFonts w:ascii="仿宋_GB2312" w:eastAsia="仿宋_GB2312" w:hint="eastAsia"/>
          <w:sz w:val="30"/>
          <w:szCs w:val="30"/>
        </w:rPr>
        <w:t>）</w:t>
      </w:r>
      <w:r w:rsidRPr="00AF0159">
        <w:rPr>
          <w:rFonts w:ascii="仿宋_GB2312" w:eastAsia="仿宋_GB2312" w:hint="eastAsia"/>
          <w:sz w:val="30"/>
          <w:szCs w:val="30"/>
        </w:rPr>
        <w:t>经营的百度网盘中存储有《匆匆那年》电视剧</w:t>
      </w:r>
      <w:r w:rsidRPr="00AF0159">
        <w:rPr>
          <w:rFonts w:ascii="仿宋_GB2312" w:eastAsia="仿宋_GB2312"/>
          <w:sz w:val="30"/>
          <w:szCs w:val="30"/>
        </w:rPr>
        <w:t>01-09</w:t>
      </w:r>
      <w:r w:rsidRPr="00AF0159">
        <w:rPr>
          <w:rFonts w:ascii="仿宋_GB2312" w:eastAsia="仿宋_GB2312" w:hint="eastAsia"/>
          <w:sz w:val="30"/>
          <w:szCs w:val="30"/>
        </w:rPr>
        <w:t>、</w:t>
      </w:r>
      <w:r w:rsidRPr="00AF0159">
        <w:rPr>
          <w:rFonts w:ascii="仿宋_GB2312" w:eastAsia="仿宋_GB2312"/>
          <w:sz w:val="30"/>
          <w:szCs w:val="30"/>
        </w:rPr>
        <w:t>11-16</w:t>
      </w:r>
      <w:r w:rsidRPr="00AF0159">
        <w:rPr>
          <w:rFonts w:ascii="仿宋_GB2312" w:eastAsia="仿宋_GB2312" w:hint="eastAsia"/>
          <w:sz w:val="30"/>
          <w:szCs w:val="30"/>
        </w:rPr>
        <w:t>集等内容，且可以通过“公开”或“加密”方式创建分享链接进行分享，还可以通过离线下载方式进行下载。</w:t>
      </w:r>
      <w:r w:rsidRPr="00AF0159">
        <w:rPr>
          <w:rFonts w:ascii="仿宋_GB2312" w:eastAsia="仿宋_GB2312"/>
          <w:sz w:val="30"/>
          <w:szCs w:val="30"/>
        </w:rPr>
        <w:t>2017</w:t>
      </w:r>
      <w:r w:rsidRPr="00AF0159">
        <w:rPr>
          <w:rFonts w:ascii="仿宋_GB2312" w:eastAsia="仿宋_GB2312" w:hint="eastAsia"/>
          <w:sz w:val="30"/>
          <w:szCs w:val="30"/>
        </w:rPr>
        <w:t>年</w:t>
      </w:r>
      <w:r w:rsidRPr="00AF0159">
        <w:rPr>
          <w:rFonts w:ascii="仿宋_GB2312" w:eastAsia="仿宋_GB2312"/>
          <w:sz w:val="30"/>
          <w:szCs w:val="30"/>
        </w:rPr>
        <w:t>4</w:t>
      </w:r>
      <w:r w:rsidRPr="00AF0159">
        <w:rPr>
          <w:rFonts w:ascii="仿宋_GB2312" w:eastAsia="仿宋_GB2312" w:hint="eastAsia"/>
          <w:sz w:val="30"/>
          <w:szCs w:val="30"/>
        </w:rPr>
        <w:t>月</w:t>
      </w:r>
      <w:r w:rsidRPr="00AF0159">
        <w:rPr>
          <w:rFonts w:ascii="仿宋_GB2312" w:eastAsia="仿宋_GB2312"/>
          <w:sz w:val="30"/>
          <w:szCs w:val="30"/>
        </w:rPr>
        <w:t>10</w:t>
      </w:r>
      <w:r w:rsidRPr="00AF0159">
        <w:rPr>
          <w:rFonts w:ascii="仿宋_GB2312" w:eastAsia="仿宋_GB2312" w:hint="eastAsia"/>
          <w:sz w:val="30"/>
          <w:szCs w:val="30"/>
        </w:rPr>
        <w:t>日，</w:t>
      </w:r>
      <w:r w:rsidRPr="00E75EBB">
        <w:rPr>
          <w:rFonts w:ascii="仿宋_GB2312" w:eastAsia="仿宋_GB2312" w:hint="eastAsia"/>
          <w:sz w:val="30"/>
          <w:szCs w:val="30"/>
        </w:rPr>
        <w:t>飞狐信息技术（天津）有限公司（以下简称飞狐公司）</w:t>
      </w:r>
      <w:r w:rsidRPr="00AF0159">
        <w:rPr>
          <w:rFonts w:ascii="仿宋_GB2312" w:eastAsia="仿宋_GB2312" w:hint="eastAsia"/>
          <w:sz w:val="30"/>
          <w:szCs w:val="30"/>
        </w:rPr>
        <w:t>、焦点南京分公司向百度公司出具《告知函》，要求百度公司在收到告知函之日起</w:t>
      </w:r>
      <w:r w:rsidRPr="00AF0159">
        <w:rPr>
          <w:rFonts w:ascii="仿宋_GB2312" w:eastAsia="仿宋_GB2312"/>
          <w:sz w:val="30"/>
          <w:szCs w:val="30"/>
        </w:rPr>
        <w:t>7</w:t>
      </w:r>
      <w:r w:rsidRPr="00AF0159">
        <w:rPr>
          <w:rFonts w:ascii="仿宋_GB2312" w:eastAsia="仿宋_GB2312" w:hint="eastAsia"/>
          <w:sz w:val="30"/>
          <w:szCs w:val="30"/>
        </w:rPr>
        <w:t>日内彻底删除百度网盘服务器中的侵权文件，断开、删除此类侵权文件的分享链接，并不得通过百度网盘服务器向互联网用户以上传、下载、分享或通过百度网盘进行在线播放、离线下载等方式提供此类侵权文件。《告知函》附件</w:t>
      </w:r>
      <w:r w:rsidRPr="00AF0159">
        <w:rPr>
          <w:rFonts w:ascii="仿宋_GB2312" w:eastAsia="仿宋_GB2312"/>
          <w:sz w:val="30"/>
          <w:szCs w:val="30"/>
        </w:rPr>
        <w:t>1</w:t>
      </w:r>
      <w:r w:rsidRPr="00AF0159">
        <w:rPr>
          <w:rFonts w:ascii="仿宋_GB2312" w:eastAsia="仿宋_GB2312" w:hint="eastAsia"/>
          <w:sz w:val="30"/>
          <w:szCs w:val="30"/>
        </w:rPr>
        <w:t>为“文件校验值”，其中第</w:t>
      </w:r>
      <w:r w:rsidRPr="00AF0159">
        <w:rPr>
          <w:rFonts w:ascii="仿宋_GB2312" w:eastAsia="仿宋_GB2312"/>
          <w:sz w:val="30"/>
          <w:szCs w:val="30"/>
        </w:rPr>
        <w:t>33</w:t>
      </w:r>
      <w:r w:rsidRPr="00AF0159">
        <w:rPr>
          <w:rFonts w:ascii="仿宋_GB2312" w:eastAsia="仿宋_GB2312" w:hint="eastAsia"/>
          <w:sz w:val="30"/>
          <w:szCs w:val="30"/>
        </w:rPr>
        <w:t>项为“匆匆那年”，列出了自</w:t>
      </w:r>
      <w:r w:rsidRPr="00AF0159">
        <w:rPr>
          <w:rFonts w:ascii="仿宋_GB2312" w:eastAsia="仿宋_GB2312"/>
          <w:sz w:val="30"/>
          <w:szCs w:val="30"/>
        </w:rPr>
        <w:t>01-15</w:t>
      </w:r>
      <w:r w:rsidRPr="00AF0159">
        <w:rPr>
          <w:rFonts w:ascii="仿宋_GB2312" w:eastAsia="仿宋_GB2312" w:hint="eastAsia"/>
          <w:sz w:val="30"/>
          <w:szCs w:val="30"/>
        </w:rPr>
        <w:t>集的</w:t>
      </w:r>
      <w:r w:rsidRPr="00AF0159">
        <w:rPr>
          <w:rFonts w:ascii="仿宋_GB2312" w:eastAsia="仿宋_GB2312"/>
          <w:sz w:val="30"/>
          <w:szCs w:val="30"/>
        </w:rPr>
        <w:t>MD5</w:t>
      </w:r>
      <w:r w:rsidRPr="00AF0159">
        <w:rPr>
          <w:rFonts w:ascii="仿宋_GB2312" w:eastAsia="仿宋_GB2312" w:hint="eastAsia"/>
          <w:sz w:val="30"/>
          <w:szCs w:val="30"/>
        </w:rPr>
        <w:t>、</w:t>
      </w:r>
      <w:r w:rsidRPr="00AF0159">
        <w:rPr>
          <w:rFonts w:ascii="仿宋_GB2312" w:eastAsia="仿宋_GB2312"/>
          <w:sz w:val="30"/>
          <w:szCs w:val="30"/>
        </w:rPr>
        <w:t>SHA1</w:t>
      </w:r>
      <w:r w:rsidRPr="00AF0159">
        <w:rPr>
          <w:rFonts w:ascii="仿宋_GB2312" w:eastAsia="仿宋_GB2312" w:hint="eastAsia"/>
          <w:sz w:val="30"/>
          <w:szCs w:val="30"/>
        </w:rPr>
        <w:t>、</w:t>
      </w:r>
      <w:r w:rsidRPr="00AF0159">
        <w:rPr>
          <w:rFonts w:ascii="仿宋_GB2312" w:eastAsia="仿宋_GB2312"/>
          <w:sz w:val="30"/>
          <w:szCs w:val="30"/>
        </w:rPr>
        <w:t>CRC32</w:t>
      </w:r>
      <w:r w:rsidRPr="00AF0159">
        <w:rPr>
          <w:rFonts w:ascii="仿宋_GB2312" w:eastAsia="仿宋_GB2312" w:hint="eastAsia"/>
          <w:sz w:val="30"/>
          <w:szCs w:val="30"/>
        </w:rPr>
        <w:t>的数值；附件</w:t>
      </w:r>
      <w:r w:rsidRPr="00AF0159">
        <w:rPr>
          <w:rFonts w:ascii="仿宋_GB2312" w:eastAsia="仿宋_GB2312"/>
          <w:sz w:val="30"/>
          <w:szCs w:val="30"/>
        </w:rPr>
        <w:t>2</w:t>
      </w:r>
      <w:r w:rsidRPr="00AF0159">
        <w:rPr>
          <w:rFonts w:ascii="仿宋_GB2312" w:eastAsia="仿宋_GB2312" w:hint="eastAsia"/>
          <w:sz w:val="30"/>
          <w:szCs w:val="30"/>
        </w:rPr>
        <w:t>为“影视作品中文名称及对应的拼音、拼音首字母和英文名称”，其中第</w:t>
      </w:r>
      <w:r w:rsidRPr="00AF0159">
        <w:rPr>
          <w:rFonts w:ascii="仿宋_GB2312" w:eastAsia="仿宋_GB2312"/>
          <w:sz w:val="30"/>
          <w:szCs w:val="30"/>
        </w:rPr>
        <w:t>33</w:t>
      </w:r>
      <w:r w:rsidRPr="00AF0159">
        <w:rPr>
          <w:rFonts w:ascii="仿宋_GB2312" w:eastAsia="仿宋_GB2312" w:hint="eastAsia"/>
          <w:sz w:val="30"/>
          <w:szCs w:val="30"/>
        </w:rPr>
        <w:t>项为“匆匆那年（电视剧）</w:t>
      </w:r>
      <w:r w:rsidRPr="00AF0159">
        <w:rPr>
          <w:rFonts w:ascii="仿宋_GB2312" w:eastAsia="仿宋_GB2312"/>
          <w:sz w:val="30"/>
          <w:szCs w:val="30"/>
        </w:rPr>
        <w:t>-CongCongNaNian-Fleet of Time</w:t>
      </w:r>
      <w:r w:rsidRPr="00AF0159">
        <w:rPr>
          <w:rFonts w:ascii="仿宋_GB2312" w:eastAsia="仿宋_GB2312" w:hint="eastAsia"/>
          <w:sz w:val="30"/>
          <w:szCs w:val="30"/>
        </w:rPr>
        <w:t>”。</w:t>
      </w:r>
    </w:p>
    <w:p w:rsidR="00D906DC" w:rsidRPr="00AF0159" w:rsidRDefault="00D906DC" w:rsidP="005F3E79">
      <w:pPr>
        <w:adjustRightInd w:val="0"/>
        <w:snapToGrid w:val="0"/>
        <w:spacing w:line="520" w:lineRule="exact"/>
        <w:ind w:firstLineChars="200" w:firstLine="600"/>
        <w:rPr>
          <w:rFonts w:ascii="仿宋_GB2312" w:eastAsia="仿宋_GB2312"/>
          <w:sz w:val="30"/>
          <w:szCs w:val="30"/>
        </w:rPr>
      </w:pPr>
      <w:r w:rsidRPr="00AF0159">
        <w:rPr>
          <w:rFonts w:ascii="仿宋_GB2312" w:eastAsia="仿宋_GB2312" w:hint="eastAsia"/>
          <w:sz w:val="30"/>
          <w:szCs w:val="30"/>
        </w:rPr>
        <w:t>一段时间后，焦点南京分公司发现在百度网盘中仍存在涉案作品，故其向法院提起诉讼，认为百度公司构成侵权，要求百度公司立即停止侵权，并赔偿经济损失及合理开支共计</w:t>
      </w:r>
      <w:r w:rsidRPr="00AF0159">
        <w:rPr>
          <w:rFonts w:ascii="仿宋_GB2312" w:eastAsia="仿宋_GB2312"/>
          <w:sz w:val="30"/>
          <w:szCs w:val="30"/>
        </w:rPr>
        <w:t>300</w:t>
      </w:r>
      <w:r w:rsidRPr="00AF0159">
        <w:rPr>
          <w:rFonts w:ascii="仿宋_GB2312" w:eastAsia="仿宋_GB2312" w:hint="eastAsia"/>
          <w:sz w:val="30"/>
          <w:szCs w:val="30"/>
        </w:rPr>
        <w:t>万元。</w:t>
      </w:r>
    </w:p>
    <w:p w:rsidR="00D906DC" w:rsidRPr="007411FC" w:rsidRDefault="00D906DC" w:rsidP="005F3E79">
      <w:pPr>
        <w:adjustRightInd w:val="0"/>
        <w:snapToGrid w:val="0"/>
        <w:spacing w:line="520" w:lineRule="exact"/>
        <w:ind w:firstLineChars="200" w:firstLine="602"/>
        <w:rPr>
          <w:rFonts w:ascii="仿宋_GB2312" w:eastAsia="仿宋_GB2312"/>
          <w:b/>
          <w:bCs/>
          <w:sz w:val="30"/>
          <w:szCs w:val="30"/>
        </w:rPr>
      </w:pPr>
      <w:r w:rsidRPr="007411FC">
        <w:rPr>
          <w:rFonts w:ascii="仿宋_GB2312" w:eastAsia="仿宋_GB2312" w:hint="eastAsia"/>
          <w:b/>
          <w:bCs/>
          <w:sz w:val="30"/>
          <w:szCs w:val="30"/>
        </w:rPr>
        <w:t>【法院认为】</w:t>
      </w:r>
    </w:p>
    <w:p w:rsidR="00D906DC" w:rsidRPr="00AF0159" w:rsidRDefault="00D906DC" w:rsidP="005F3E79">
      <w:pPr>
        <w:adjustRightInd w:val="0"/>
        <w:snapToGrid w:val="0"/>
        <w:spacing w:line="520" w:lineRule="exact"/>
        <w:ind w:firstLineChars="200" w:firstLine="600"/>
        <w:rPr>
          <w:rFonts w:ascii="仿宋_GB2312" w:eastAsia="仿宋_GB2312"/>
          <w:sz w:val="30"/>
          <w:szCs w:val="30"/>
        </w:rPr>
      </w:pPr>
      <w:r w:rsidRPr="00AF0159">
        <w:rPr>
          <w:rFonts w:ascii="仿宋_GB2312" w:eastAsia="仿宋_GB2312" w:hint="eastAsia"/>
          <w:sz w:val="30"/>
          <w:szCs w:val="30"/>
        </w:rPr>
        <w:t>南京中院一审认为：</w:t>
      </w:r>
    </w:p>
    <w:p w:rsidR="00D906DC" w:rsidRPr="00AF0159" w:rsidRDefault="00D906DC" w:rsidP="005F3E79">
      <w:pPr>
        <w:adjustRightInd w:val="0"/>
        <w:snapToGrid w:val="0"/>
        <w:spacing w:line="520" w:lineRule="exact"/>
        <w:ind w:firstLineChars="200" w:firstLine="600"/>
        <w:rPr>
          <w:rFonts w:ascii="仿宋_GB2312" w:eastAsia="仿宋_GB2312"/>
          <w:sz w:val="30"/>
          <w:szCs w:val="30"/>
        </w:rPr>
      </w:pPr>
      <w:r w:rsidRPr="00AF0159">
        <w:rPr>
          <w:rFonts w:ascii="仿宋_GB2312" w:eastAsia="仿宋_GB2312" w:hint="eastAsia"/>
          <w:sz w:val="30"/>
          <w:szCs w:val="30"/>
        </w:rPr>
        <w:t>第一，虽然焦点南京分公司提交的一系列公证书可以证明，涉案《匆匆那年》影视作品上传百度网盘可以实现秒传；在百度网盘的不同帐号之间可以对涉案《匆匆那年》影视作品通过“公开”“加密”方式进行分享，并且可以在登录百度网盘后将被诉侵权文件进行离线下</w:t>
      </w:r>
      <w:r w:rsidRPr="00AF0159">
        <w:rPr>
          <w:rFonts w:ascii="仿宋_GB2312" w:eastAsia="仿宋_GB2312" w:hint="eastAsia"/>
          <w:sz w:val="30"/>
          <w:szCs w:val="30"/>
        </w:rPr>
        <w:lastRenderedPageBreak/>
        <w:t>载保存到用户的百度网盘，但这些均不构成对涉案作品信息网络传播权的直接侵权。第二，在焦点南京分公司已明确告知百度网盘存在与其享有信息网络传播权的涉案《匆匆那年》影视作品相同的作品时，百度公司不采取任何行动存在过错，百度公司构成帮助侵权行为，应当承担相应的侵权责任。</w:t>
      </w:r>
    </w:p>
    <w:p w:rsidR="00D906DC" w:rsidRPr="00AF0159" w:rsidRDefault="00D906DC" w:rsidP="005F3E79">
      <w:pPr>
        <w:adjustRightInd w:val="0"/>
        <w:snapToGrid w:val="0"/>
        <w:spacing w:line="520" w:lineRule="exact"/>
        <w:ind w:firstLineChars="200" w:firstLine="600"/>
        <w:rPr>
          <w:rFonts w:ascii="仿宋_GB2312" w:eastAsia="仿宋_GB2312"/>
          <w:sz w:val="30"/>
          <w:szCs w:val="30"/>
        </w:rPr>
      </w:pPr>
      <w:r w:rsidRPr="00AF0159">
        <w:rPr>
          <w:rFonts w:ascii="仿宋_GB2312" w:eastAsia="仿宋_GB2312" w:hint="eastAsia"/>
          <w:sz w:val="30"/>
          <w:szCs w:val="30"/>
        </w:rPr>
        <w:t>一审法院判决百度公司立即删除服务器中的侵权作品，并赔偿焦点南京分公司经济损失及合理费用</w:t>
      </w:r>
      <w:r w:rsidRPr="00AF0159">
        <w:rPr>
          <w:rFonts w:ascii="仿宋_GB2312" w:eastAsia="仿宋_GB2312"/>
          <w:sz w:val="30"/>
          <w:szCs w:val="30"/>
        </w:rPr>
        <w:t>50</w:t>
      </w:r>
      <w:r w:rsidRPr="00AF0159">
        <w:rPr>
          <w:rFonts w:ascii="仿宋_GB2312" w:eastAsia="仿宋_GB2312" w:hint="eastAsia"/>
          <w:sz w:val="30"/>
          <w:szCs w:val="30"/>
        </w:rPr>
        <w:t>万元。一审判决后，百度公司向江苏省高级人民法院</w:t>
      </w:r>
      <w:r>
        <w:rPr>
          <w:rFonts w:ascii="仿宋_GB2312" w:eastAsia="仿宋_GB2312" w:hint="eastAsia"/>
          <w:sz w:val="30"/>
          <w:szCs w:val="30"/>
        </w:rPr>
        <w:t>提起上诉</w:t>
      </w:r>
      <w:r w:rsidRPr="00AF0159">
        <w:rPr>
          <w:rFonts w:ascii="仿宋_GB2312" w:eastAsia="仿宋_GB2312" w:hint="eastAsia"/>
          <w:sz w:val="30"/>
          <w:szCs w:val="30"/>
        </w:rPr>
        <w:t>。</w:t>
      </w:r>
    </w:p>
    <w:p w:rsidR="00D906DC" w:rsidRPr="00AF0159" w:rsidRDefault="00D906DC" w:rsidP="005F3E79">
      <w:pPr>
        <w:adjustRightInd w:val="0"/>
        <w:snapToGrid w:val="0"/>
        <w:spacing w:line="520" w:lineRule="exact"/>
        <w:ind w:firstLineChars="200" w:firstLine="600"/>
        <w:rPr>
          <w:rFonts w:ascii="仿宋_GB2312" w:eastAsia="仿宋_GB2312"/>
          <w:sz w:val="30"/>
          <w:szCs w:val="30"/>
        </w:rPr>
      </w:pPr>
      <w:r w:rsidRPr="00AF0159">
        <w:rPr>
          <w:rFonts w:ascii="仿宋_GB2312" w:eastAsia="仿宋_GB2312" w:hint="eastAsia"/>
          <w:sz w:val="30"/>
          <w:szCs w:val="30"/>
        </w:rPr>
        <w:t>江苏高院二审认为：</w:t>
      </w:r>
    </w:p>
    <w:p w:rsidR="00D906DC" w:rsidRPr="00AF0159" w:rsidRDefault="00D906DC" w:rsidP="005F3E79">
      <w:pPr>
        <w:adjustRightInd w:val="0"/>
        <w:snapToGrid w:val="0"/>
        <w:spacing w:line="520" w:lineRule="exact"/>
        <w:ind w:firstLineChars="200" w:firstLine="600"/>
        <w:rPr>
          <w:rFonts w:ascii="仿宋_GB2312" w:eastAsia="仿宋_GB2312"/>
          <w:sz w:val="30"/>
          <w:szCs w:val="30"/>
        </w:rPr>
      </w:pPr>
      <w:r w:rsidRPr="00AF0159">
        <w:rPr>
          <w:rFonts w:ascii="仿宋_GB2312" w:eastAsia="仿宋_GB2312" w:hint="eastAsia"/>
          <w:sz w:val="30"/>
          <w:szCs w:val="30"/>
        </w:rPr>
        <w:t>百度公司未删除百度网盘服务器中相关文件的行为不构成帮助侵权。</w:t>
      </w:r>
    </w:p>
    <w:p w:rsidR="00D906DC" w:rsidRPr="00AF0159" w:rsidRDefault="00D906DC" w:rsidP="005F3E79">
      <w:pPr>
        <w:adjustRightInd w:val="0"/>
        <w:snapToGrid w:val="0"/>
        <w:spacing w:line="520" w:lineRule="exact"/>
        <w:ind w:firstLineChars="200" w:firstLine="600"/>
        <w:rPr>
          <w:rFonts w:ascii="仿宋_GB2312" w:eastAsia="仿宋_GB2312"/>
          <w:sz w:val="30"/>
          <w:szCs w:val="30"/>
        </w:rPr>
      </w:pPr>
      <w:r w:rsidRPr="00AF0159">
        <w:rPr>
          <w:rFonts w:ascii="仿宋_GB2312" w:eastAsia="仿宋_GB2312" w:hint="eastAsia"/>
          <w:sz w:val="30"/>
          <w:szCs w:val="30"/>
        </w:rPr>
        <w:t>首先，百度网盘用户将涉案被控侵权视频文件存储于百度网盘中，网盘用户的存储行为以及百度公司提供存储空间的行为均不构成侵犯涉案作品的信息网络传播权。根据百度网盘的用户协议，“百度网盘是一个向广大用户提供数据存储、同步、管理和分享等的在线服务。百度网盘是信息存储空间平台，其本身不直接上传、提供内容，对用户传输内容不做任何修改或编辑。”《中华人民共和国著作权法》第十条第一款第（十二）项规定，信息网络传播权是指以有线或者无线方式向公众提供作品，使公众可以在其个人选定的时间和地点获得作品的权利。由此可知，该项权利指向的主要是作品在信息网络环境中面向公众并可以使公众获得的传播行为，就特定作品文件网络存储空间的提供方和作为网络存储空间使用者的网盘用户而言，存储行为具有一定程度的独立性，有别于不同网络用户之间出于文件传播目的而发起的分享行为，存储行为本身不代表存储行为的实施主体同时具有传播</w:t>
      </w:r>
      <w:r w:rsidRPr="00AF0159">
        <w:rPr>
          <w:rFonts w:ascii="仿宋_GB2312" w:eastAsia="仿宋_GB2312" w:hint="eastAsia"/>
          <w:sz w:val="30"/>
          <w:szCs w:val="30"/>
        </w:rPr>
        <w:lastRenderedPageBreak/>
        <w:t>特定作品的主观意思，故不能将特定作品文件的存储行为简单等同于特定作品文件的传播行为，单纯的存储行为亦不必然构成对相关作品信息网络传播权的侵害。</w:t>
      </w:r>
    </w:p>
    <w:p w:rsidR="00D906DC" w:rsidRPr="00AF0159" w:rsidRDefault="00D906DC" w:rsidP="005F3E79">
      <w:pPr>
        <w:adjustRightInd w:val="0"/>
        <w:snapToGrid w:val="0"/>
        <w:spacing w:line="520" w:lineRule="exact"/>
        <w:ind w:firstLineChars="200" w:firstLine="600"/>
        <w:rPr>
          <w:rFonts w:ascii="仿宋_GB2312" w:eastAsia="仿宋_GB2312"/>
          <w:sz w:val="30"/>
          <w:szCs w:val="30"/>
        </w:rPr>
      </w:pPr>
      <w:r w:rsidRPr="00AF0159">
        <w:rPr>
          <w:rFonts w:ascii="仿宋_GB2312" w:eastAsia="仿宋_GB2312" w:hint="eastAsia"/>
          <w:sz w:val="30"/>
          <w:szCs w:val="30"/>
        </w:rPr>
        <w:t>其次，焦点南京分公司投诉的涉及《匆匆那年》作品的直接侵权传播行为并不清晰。焦点南京分公司的多份证据中，仅是证明了百度网盘中存储有涉案视频文件，且百度网盘具备的分享、离线下载、秒传等相关功能可以被用于实施侵权传播行为，但是上述证据并不足以证明确实存在焦点南京分公司及其关联公司飞狐公司公证授权委托之外的百度网盘用户，借助百度网盘实施了涉案作品的侵权传播行为且百度公司对此明知或应知。在焦点南京分公司向百度公司发送的《告知函》中，焦点南京分公司虽然要求百度公司断开、删除分享链接，但是在《告知函》附件中并未提供任何出于传播涉案作品目的的分享链接，故焦点南京分公司投诉中提出的关于涉案作品侵权传播行为实施主体和客观状态的指向并不明确。</w:t>
      </w:r>
    </w:p>
    <w:p w:rsidR="00D906DC" w:rsidRPr="00AF0159" w:rsidRDefault="00D906DC" w:rsidP="005F3E79">
      <w:pPr>
        <w:adjustRightInd w:val="0"/>
        <w:snapToGrid w:val="0"/>
        <w:spacing w:line="520" w:lineRule="exact"/>
        <w:ind w:firstLineChars="200" w:firstLine="600"/>
        <w:rPr>
          <w:rFonts w:ascii="仿宋_GB2312" w:eastAsia="仿宋_GB2312"/>
          <w:sz w:val="30"/>
          <w:szCs w:val="30"/>
        </w:rPr>
      </w:pPr>
      <w:r w:rsidRPr="00AF0159">
        <w:rPr>
          <w:rFonts w:ascii="仿宋_GB2312" w:eastAsia="仿宋_GB2312" w:hint="eastAsia"/>
          <w:sz w:val="30"/>
          <w:szCs w:val="30"/>
        </w:rPr>
        <w:t>再次，焦点南京分公司向百度公司发送的《告知函》不构成有效通知。虽然二审法院在其他案件中对有效通知的认定并非严格按照上述要求必须包含侵权链接等内容，但是作为权利人所发出的一个有效的通知，至少应该使得被通知方可以方便快捷地关联并提取投诉人的投诉内容，可以初步获知、定位被投诉侵权行为的行为实施主体、行为客观状态，在此基础上再进一步尽到其他应当且必要的审查注意义务，并采取包括但不限于断开链接、删除文件等各项具体处理措施。</w:t>
      </w:r>
    </w:p>
    <w:p w:rsidR="00D906DC" w:rsidRPr="00AF0159" w:rsidRDefault="00D906DC" w:rsidP="005F3E79">
      <w:pPr>
        <w:adjustRightInd w:val="0"/>
        <w:snapToGrid w:val="0"/>
        <w:spacing w:line="520" w:lineRule="exact"/>
        <w:ind w:firstLineChars="200" w:firstLine="600"/>
        <w:rPr>
          <w:rFonts w:ascii="仿宋_GB2312" w:eastAsia="仿宋_GB2312"/>
          <w:sz w:val="30"/>
          <w:szCs w:val="30"/>
        </w:rPr>
      </w:pPr>
      <w:r w:rsidRPr="00AF0159">
        <w:rPr>
          <w:rFonts w:ascii="仿宋_GB2312" w:eastAsia="仿宋_GB2312" w:hint="eastAsia"/>
          <w:sz w:val="30"/>
          <w:szCs w:val="30"/>
        </w:rPr>
        <w:t>如前所述，本案焦点南京分公司发出的《告知函》中并不存在任何侵权分享链接，也不存在其他能使百度公司方便快捷定位侵权传播行为及实施人的具体内容。即便焦点南京分公司提交的</w:t>
      </w:r>
      <w:r w:rsidRPr="00AF0159">
        <w:rPr>
          <w:rFonts w:ascii="仿宋_GB2312" w:eastAsia="仿宋_GB2312"/>
          <w:sz w:val="30"/>
          <w:szCs w:val="30"/>
        </w:rPr>
        <w:t>MD5</w:t>
      </w:r>
      <w:r w:rsidRPr="00AF0159">
        <w:rPr>
          <w:rFonts w:ascii="仿宋_GB2312" w:eastAsia="仿宋_GB2312" w:hint="eastAsia"/>
          <w:sz w:val="30"/>
          <w:szCs w:val="30"/>
        </w:rPr>
        <w:t>值等文件</w:t>
      </w:r>
      <w:r w:rsidRPr="00AF0159">
        <w:rPr>
          <w:rFonts w:ascii="仿宋_GB2312" w:eastAsia="仿宋_GB2312" w:hint="eastAsia"/>
          <w:sz w:val="30"/>
          <w:szCs w:val="30"/>
        </w:rPr>
        <w:lastRenderedPageBreak/>
        <w:t>校验值可以定位到特定文件，但是帐号中保存了该特定文件的网盘用户是否实施了侵权传播行为，仍然需要百度公司进行相应地审查甄别、审慎判断。因此，在未有指明百度网盘用户使用百度网盘直接实施涉案作品侵权传播行为的情形下，焦点南京分公司发出的《告知函》其实质是相当于要求百度公司根据《告知函》内容，对百度网盘内所有文件进行完全排查或进行相应技术改造以实现快速定位，该要求显然不适当地加重了百度公司作为网络服务提供者的负担，亦可能不当损害网盘用户基于合法目的使用作品而享有的合法权益，因此二审法院认定该《告知函》不属于有效通知。</w:t>
      </w:r>
    </w:p>
    <w:p w:rsidR="00D906DC" w:rsidRPr="00AF0159" w:rsidRDefault="00D906DC" w:rsidP="005F3E79">
      <w:pPr>
        <w:adjustRightInd w:val="0"/>
        <w:snapToGrid w:val="0"/>
        <w:spacing w:line="520" w:lineRule="exact"/>
        <w:ind w:firstLineChars="200" w:firstLine="600"/>
        <w:rPr>
          <w:rFonts w:ascii="仿宋_GB2312" w:eastAsia="仿宋_GB2312"/>
          <w:sz w:val="30"/>
          <w:szCs w:val="30"/>
        </w:rPr>
      </w:pPr>
      <w:r w:rsidRPr="00AF0159">
        <w:rPr>
          <w:rFonts w:ascii="仿宋_GB2312" w:eastAsia="仿宋_GB2312" w:hint="eastAsia"/>
          <w:sz w:val="30"/>
          <w:szCs w:val="30"/>
        </w:rPr>
        <w:t>最后，百度网盘的性质不同于百度贴吧等其他信息发布平台。相较于其他将信息对所有公众开放的信息网络发布平台而言，百度网盘更加具有私密性的特征，在百度网盘用户自己没有主动对外分享网盘帐号下的文件时，普通用户或公众并不能在个人选定的时间和地点随意获取到网盘内的任何内容，网盘用户所拥有的帐号下的存储空间，可以视为用户个人电脑、手机等硬件物理设备存储空间在网络环境中的延伸。同时，由于百度网盘采用相同文件即同一份文件只实际存储一份的技术，如果百度公司删除了百度网盘服务器中的某一文件，涉及到的后果是所有存储了该份文件的网盘用户的存储空间中的这一文件均将被删除，而这些存储该份文件的网盘用户中并不排除存在有权使用或合理使用的情形。在作品权利的行使、维护过程中，同时亦应尊重他人的合法权利，不得损害他人的合法权益。因此，焦点南京分公司主张百度公司应根据其通知直接删除百度网盘服务器中相关文件的请求，有可能损害未实施侵权行为的普通网盘用户的相关权益，导致信息存储空间网络服务提供者、信息存储空间网络使用者（网络用</w:t>
      </w:r>
      <w:r w:rsidRPr="00AF0159">
        <w:rPr>
          <w:rFonts w:ascii="仿宋_GB2312" w:eastAsia="仿宋_GB2312" w:hint="eastAsia"/>
          <w:sz w:val="30"/>
          <w:szCs w:val="30"/>
        </w:rPr>
        <w:lastRenderedPageBreak/>
        <w:t>户）、作品权利人三方不同权益主体之间的利益失衡，亦超出了其所享有的涉案作品信息网络传播权的保护范围。</w:t>
      </w:r>
    </w:p>
    <w:p w:rsidR="00D906DC" w:rsidRPr="00AF0159" w:rsidRDefault="00D906DC" w:rsidP="005F3E79">
      <w:pPr>
        <w:adjustRightInd w:val="0"/>
        <w:snapToGrid w:val="0"/>
        <w:spacing w:line="520" w:lineRule="exact"/>
        <w:ind w:firstLineChars="200" w:firstLine="600"/>
        <w:rPr>
          <w:rFonts w:ascii="仿宋_GB2312" w:eastAsia="仿宋_GB2312"/>
          <w:sz w:val="30"/>
          <w:szCs w:val="30"/>
        </w:rPr>
      </w:pPr>
      <w:r w:rsidRPr="00AF0159">
        <w:rPr>
          <w:rFonts w:ascii="仿宋_GB2312" w:eastAsia="仿宋_GB2312" w:hint="eastAsia"/>
          <w:sz w:val="30"/>
          <w:szCs w:val="30"/>
        </w:rPr>
        <w:t>综上，焦点南京分公司发送的《告知函》不构成有效通知，其关于百度公司应删除百度网盘服务器中相关文件的要求缺乏事实和法律依据。一审法院认为百度公司未承担其作为网络服务提供者的审查义务和责任，构成帮助侵权并承担相应法律责任的认定有误，二审法院予以纠正。</w:t>
      </w:r>
    </w:p>
    <w:p w:rsidR="00D906DC" w:rsidRPr="00AF0159" w:rsidRDefault="00D906DC" w:rsidP="005F3E79">
      <w:pPr>
        <w:adjustRightInd w:val="0"/>
        <w:snapToGrid w:val="0"/>
        <w:spacing w:line="520" w:lineRule="exact"/>
        <w:ind w:firstLineChars="200" w:firstLine="600"/>
        <w:rPr>
          <w:rFonts w:ascii="仿宋_GB2312" w:eastAsia="仿宋_GB2312"/>
          <w:sz w:val="30"/>
          <w:szCs w:val="30"/>
        </w:rPr>
      </w:pPr>
      <w:r w:rsidRPr="00AF0159">
        <w:rPr>
          <w:rFonts w:ascii="仿宋_GB2312" w:eastAsia="仿宋_GB2312" w:hint="eastAsia"/>
          <w:sz w:val="30"/>
          <w:szCs w:val="30"/>
        </w:rPr>
        <w:t>当然，需要强调的是，二审法院系基于本案所涉案情认定百度公司不构成帮助侵权，但在权利人的作品为热播影视作品等特殊情形下，如果权利人已经采取了较为严密的保护措施以防止该作品非法传播，而普通公众通过正常渠道一般难以获得该作品时，在网络环境下出现权利人的作品就应当重点考虑该作品的来源是否具备正当性、是否具备合理使用的事实基础。此时，权利人通过技术手段获知并持有证据足以证明所涉作品存储于网络环境，为防止、制止该作品在网络环境之中出现非法传播，侵犯其合法权益，甚至造成难以弥补的损害，权利人向网络服务提供者提出采取删除、屏蔽、断开链接等措施的要求，网络服务提供者对此应当负有较高的注意义务，以尽到尊重知识产权、保护知识产权的责任。</w:t>
      </w:r>
    </w:p>
    <w:p w:rsidR="00D906DC" w:rsidRPr="00AF0159" w:rsidRDefault="00D906DC" w:rsidP="005F3E79">
      <w:pPr>
        <w:adjustRightInd w:val="0"/>
        <w:snapToGrid w:val="0"/>
        <w:spacing w:line="520" w:lineRule="exact"/>
        <w:ind w:firstLineChars="200" w:firstLine="600"/>
        <w:rPr>
          <w:rFonts w:ascii="仿宋_GB2312" w:eastAsia="仿宋_GB2312"/>
          <w:sz w:val="30"/>
          <w:szCs w:val="30"/>
        </w:rPr>
      </w:pPr>
      <w:r w:rsidRPr="00AF0159">
        <w:rPr>
          <w:rFonts w:ascii="仿宋_GB2312" w:eastAsia="仿宋_GB2312" w:hint="eastAsia"/>
          <w:sz w:val="30"/>
          <w:szCs w:val="30"/>
        </w:rPr>
        <w:t>同时，二审法院亦提醒百度公司重视百度网盘的秒传、分享、离线下载等功能可能引起的侵权问题。在现有运行机制包括用户协议中明确法律提示条款、设置</w:t>
      </w:r>
      <w:r w:rsidRPr="00AF0159">
        <w:rPr>
          <w:rFonts w:ascii="仿宋_GB2312" w:eastAsia="仿宋_GB2312"/>
          <w:sz w:val="30"/>
          <w:szCs w:val="30"/>
        </w:rPr>
        <w:t>robots</w:t>
      </w:r>
      <w:r w:rsidRPr="00AF0159">
        <w:rPr>
          <w:rFonts w:ascii="仿宋_GB2312" w:eastAsia="仿宋_GB2312" w:hint="eastAsia"/>
          <w:sz w:val="30"/>
          <w:szCs w:val="30"/>
        </w:rPr>
        <w:t>协议等的基础上，百度公司仍然应当主动积极应对新技术开发、新应用场景、新业态运营在市场拓展过程中可能引发的侵权现象，关注其中可能存在的侵权风险，同步优化网络平台自身的技术安排和运维体系，特别是支持更多方式查询、提取</w:t>
      </w:r>
      <w:r w:rsidRPr="00AF0159">
        <w:rPr>
          <w:rFonts w:ascii="仿宋_GB2312" w:eastAsia="仿宋_GB2312" w:hint="eastAsia"/>
          <w:sz w:val="30"/>
          <w:szCs w:val="30"/>
        </w:rPr>
        <w:lastRenderedPageBreak/>
        <w:t>网盘帐号中存储文件在网盘内、外交互传输状况，以进一步完善、提升保护知识产权的数据信息管理能力、技术处理能力和侵权投诉处理质量，及时采取合理措施预防侵权、制止侵权。</w:t>
      </w:r>
    </w:p>
    <w:p w:rsidR="00D906DC" w:rsidRPr="00AF0159" w:rsidRDefault="00D906DC" w:rsidP="005F3E79">
      <w:pPr>
        <w:adjustRightInd w:val="0"/>
        <w:snapToGrid w:val="0"/>
        <w:spacing w:line="520" w:lineRule="exact"/>
        <w:ind w:firstLineChars="200" w:firstLine="600"/>
        <w:rPr>
          <w:rFonts w:ascii="仿宋_GB2312" w:eastAsia="仿宋_GB2312"/>
          <w:sz w:val="30"/>
          <w:szCs w:val="30"/>
        </w:rPr>
      </w:pPr>
      <w:r w:rsidRPr="00AF0159">
        <w:rPr>
          <w:rFonts w:ascii="仿宋_GB2312" w:eastAsia="仿宋_GB2312" w:hint="eastAsia"/>
          <w:sz w:val="30"/>
          <w:szCs w:val="30"/>
        </w:rPr>
        <w:t>综上，二审法院判决：撤销一审判决，改判驳回焦点南京分公司的全部诉讼请求。</w:t>
      </w:r>
    </w:p>
    <w:p w:rsidR="00D906DC" w:rsidRPr="007411FC" w:rsidRDefault="00D906DC" w:rsidP="005F3E79">
      <w:pPr>
        <w:adjustRightInd w:val="0"/>
        <w:snapToGrid w:val="0"/>
        <w:spacing w:line="520" w:lineRule="exact"/>
        <w:ind w:firstLineChars="200" w:firstLine="602"/>
        <w:rPr>
          <w:rFonts w:ascii="仿宋_GB2312" w:eastAsia="仿宋_GB2312"/>
          <w:b/>
          <w:bCs/>
          <w:sz w:val="30"/>
          <w:szCs w:val="30"/>
        </w:rPr>
      </w:pPr>
      <w:r w:rsidRPr="007411FC">
        <w:rPr>
          <w:rFonts w:ascii="仿宋_GB2312" w:eastAsia="仿宋_GB2312" w:hint="eastAsia"/>
          <w:b/>
          <w:bCs/>
          <w:sz w:val="30"/>
          <w:szCs w:val="30"/>
        </w:rPr>
        <w:t>【典型意义】</w:t>
      </w:r>
    </w:p>
    <w:p w:rsidR="00D906DC" w:rsidRPr="00AF0159" w:rsidRDefault="00D906DC" w:rsidP="005F3E79">
      <w:pPr>
        <w:adjustRightInd w:val="0"/>
        <w:snapToGrid w:val="0"/>
        <w:spacing w:line="520" w:lineRule="exact"/>
        <w:ind w:firstLineChars="200" w:firstLine="600"/>
        <w:rPr>
          <w:rFonts w:ascii="仿宋_GB2312" w:eastAsia="仿宋_GB2312"/>
          <w:sz w:val="30"/>
          <w:szCs w:val="30"/>
        </w:rPr>
      </w:pPr>
      <w:r w:rsidRPr="00AF0159">
        <w:rPr>
          <w:rFonts w:ascii="仿宋_GB2312" w:eastAsia="仿宋_GB2312" w:hint="eastAsia"/>
          <w:sz w:val="30"/>
          <w:szCs w:val="30"/>
        </w:rPr>
        <w:t>本案是涉及网盘新技术应用过程中信息网络传播权侵权认定的一起典型案件。近年来，互联网技术中使用云存储技术的网盘服务因其存储容量大、覆盖范围广、上传下载文件方便、快捷等优势获得广泛应用。但在网盘使用过程中，必然涉及作品的存储、传输等问题，导致对网盘服务功能是否会涉及帮助侵权问题引发争论。此前，已有判决基于案情认定网盘、云盘技术服务提供者构成帮助侵权，但本案二审法院考虑案件特殊性，作出了不同的判决结果，进一步完善了涉网盘、云盘知识产权案件侵权认定规则与思路。本案判决对于合理界定信息网络传播权的保护边界，平衡涉网盘服务各方主体的利益，在加强对网络环境下作品版权保护的同时，给网盘、云盘等新技术、新应用、新业态和新商业模式的发展留下了必要的发展空间。其中蕴含的裁判</w:t>
      </w:r>
      <w:r>
        <w:rPr>
          <w:rFonts w:ascii="仿宋_GB2312" w:eastAsia="仿宋_GB2312" w:hint="eastAsia"/>
          <w:sz w:val="30"/>
          <w:szCs w:val="30"/>
        </w:rPr>
        <w:t>思路</w:t>
      </w:r>
      <w:r w:rsidRPr="00AF0159">
        <w:rPr>
          <w:rFonts w:ascii="仿宋_GB2312" w:eastAsia="仿宋_GB2312" w:hint="eastAsia"/>
          <w:sz w:val="30"/>
          <w:szCs w:val="30"/>
        </w:rPr>
        <w:t>对于类似案件处理具有一定的参考价值，主要体现在：</w:t>
      </w:r>
    </w:p>
    <w:p w:rsidR="00D906DC" w:rsidRPr="00AF0159" w:rsidRDefault="00D906DC" w:rsidP="005F3E79">
      <w:pPr>
        <w:adjustRightInd w:val="0"/>
        <w:snapToGrid w:val="0"/>
        <w:spacing w:line="520" w:lineRule="exact"/>
        <w:ind w:firstLineChars="200" w:firstLine="600"/>
        <w:rPr>
          <w:rFonts w:ascii="仿宋_GB2312" w:eastAsia="仿宋_GB2312"/>
          <w:sz w:val="30"/>
          <w:szCs w:val="30"/>
        </w:rPr>
      </w:pPr>
      <w:r w:rsidRPr="00AF0159">
        <w:rPr>
          <w:rFonts w:ascii="仿宋_GB2312" w:eastAsia="仿宋_GB2312" w:hint="eastAsia"/>
          <w:sz w:val="30"/>
          <w:szCs w:val="30"/>
        </w:rPr>
        <w:t>一是明晰了网盘、云盘服务提供者注意义务及主观过错认定标准，合理界定了信息网络传播权的保护边界。本案判决首先基于过错原则，划分了网盘的技术功能与侵权行为之间的界限，明确了单纯网络存储并不侵害作品的信息网络传播权，并指出尽管网盘、云盘具备的分享、离线下载、秒传等相关功能可以被用于实施侵权传播行为，在网络服务提供商无过错或未直接实施侵权传播行为的情形下，其提供秒传、</w:t>
      </w:r>
      <w:r w:rsidRPr="00AF0159">
        <w:rPr>
          <w:rFonts w:ascii="仿宋_GB2312" w:eastAsia="仿宋_GB2312" w:hint="eastAsia"/>
          <w:sz w:val="30"/>
          <w:szCs w:val="30"/>
        </w:rPr>
        <w:lastRenderedPageBreak/>
        <w:t>分享、在线播放等技术功能的行为不构成侵权。其次，明确了权利人向网络服务提供者发出合格有效通知或《告知函》的标准，即至少应该使得被通知方清晰了解作品的权利状态，同时能够方便快捷地关联并提取投诉人的投诉内容，可以初步获知、定位被投诉侵权行为的实施主体、行为客观形态</w:t>
      </w:r>
      <w:r>
        <w:rPr>
          <w:rFonts w:ascii="仿宋_GB2312" w:eastAsia="仿宋_GB2312" w:hint="eastAsia"/>
          <w:sz w:val="30"/>
          <w:szCs w:val="30"/>
        </w:rPr>
        <w:t>等</w:t>
      </w:r>
      <w:r w:rsidRPr="00AF0159">
        <w:rPr>
          <w:rFonts w:ascii="仿宋_GB2312" w:eastAsia="仿宋_GB2312" w:hint="eastAsia"/>
          <w:sz w:val="30"/>
          <w:szCs w:val="30"/>
        </w:rPr>
        <w:t>。由此，判决认定本案</w:t>
      </w:r>
      <w:r>
        <w:rPr>
          <w:rFonts w:ascii="仿宋_GB2312" w:eastAsia="仿宋_GB2312" w:hint="eastAsia"/>
          <w:sz w:val="30"/>
          <w:szCs w:val="30"/>
        </w:rPr>
        <w:t>中</w:t>
      </w:r>
      <w:r w:rsidRPr="00AF0159">
        <w:rPr>
          <w:rFonts w:ascii="仿宋_GB2312" w:eastAsia="仿宋_GB2312" w:hint="eastAsia"/>
          <w:sz w:val="30"/>
          <w:szCs w:val="30"/>
        </w:rPr>
        <w:t>焦点南京分公司发出的包含文件</w:t>
      </w:r>
      <w:r w:rsidRPr="00AF0159">
        <w:rPr>
          <w:rFonts w:ascii="仿宋_GB2312" w:eastAsia="仿宋_GB2312"/>
          <w:sz w:val="30"/>
          <w:szCs w:val="30"/>
        </w:rPr>
        <w:t>MD5</w:t>
      </w:r>
      <w:r w:rsidRPr="00AF0159">
        <w:rPr>
          <w:rFonts w:ascii="仿宋_GB2312" w:eastAsia="仿宋_GB2312" w:hint="eastAsia"/>
          <w:sz w:val="30"/>
          <w:szCs w:val="30"/>
        </w:rPr>
        <w:t>值及中英文名称的《告知函》，因其不能方便、快捷定位至侵权行为及侵权主体，认定其不属于有效通知，其实质是相当于要求百度公司根据《告知函》内容，对百度网盘内所有文件进行完全排查或进行相应技术改造以实现快速定位，该要求显然不适当地加重了百度公司作为网络服务提供者的负担，亦可能不当损害普通网盘用户基于合法目的使用作品而享有的权益。再次，从网盘中文件存储的唯一性特点和删除后果角度，阐释了服务商采取删除措施的不合理性，即如果百度公司根据前述不当通知，删除了百度网盘服务器中的某一文件，则所有存储该份文件的网盘用户的存储空间中的这一文件均将被删除，可能损害未实施侵权行为普通网盘用户的相关权益，导致信息存储空间网络服务提供者、信息存储空间网络使用者（网络用户）、作品权利人三方主体之间的利益失衡。</w:t>
      </w:r>
    </w:p>
    <w:p w:rsidR="00D906DC" w:rsidRDefault="00D906DC" w:rsidP="005F3E79">
      <w:pPr>
        <w:adjustRightInd w:val="0"/>
        <w:snapToGrid w:val="0"/>
        <w:spacing w:line="520" w:lineRule="exact"/>
        <w:ind w:firstLineChars="200" w:firstLine="600"/>
        <w:rPr>
          <w:rFonts w:ascii="仿宋_GB2312" w:eastAsia="仿宋_GB2312"/>
          <w:sz w:val="30"/>
          <w:szCs w:val="30"/>
        </w:rPr>
      </w:pPr>
      <w:r>
        <w:rPr>
          <w:rFonts w:ascii="仿宋_GB2312" w:eastAsia="仿宋_GB2312" w:hint="eastAsia"/>
          <w:sz w:val="30"/>
          <w:szCs w:val="30"/>
        </w:rPr>
        <w:t>二是</w:t>
      </w:r>
      <w:r w:rsidRPr="00AF0159">
        <w:rPr>
          <w:rFonts w:ascii="仿宋_GB2312" w:eastAsia="仿宋_GB2312" w:hint="eastAsia"/>
          <w:sz w:val="30"/>
          <w:szCs w:val="30"/>
        </w:rPr>
        <w:t>明确了特殊情况下网盘服务提供者必要的注意义务以及因应网络技术发展应当采取的必要措施，引导互联网行业健康发展。判决认为，如果权利人的作品为热播影视作品等，权利人已经采取了较为严密的保护措施以防止该作品非法传播，而普通公众通过正常渠道一般难以获得该作品时，在网络环境下出现权利人的作品就应当重点考虑该作品的来源是否具备正当性、是否具备合理使用的事实基础。此时，权利人通过技术手段获知并持有证据足以证明所涉作品存储于网</w:t>
      </w:r>
      <w:r w:rsidRPr="00AF0159">
        <w:rPr>
          <w:rFonts w:ascii="仿宋_GB2312" w:eastAsia="仿宋_GB2312" w:hint="eastAsia"/>
          <w:sz w:val="30"/>
          <w:szCs w:val="30"/>
        </w:rPr>
        <w:lastRenderedPageBreak/>
        <w:t>络环境，为防止、制止该作品在网络环境中出现非法传播，侵犯其合法权益，甚至造成难以弥补的损害，权利人向网络服务提供者提出采取删除、屏蔽、断开链接等措施的要求，网络服务提供者应当负有较高的注意义务，以尽到尊重知识产权、保护知识产权的责任。同时，二审法院亦提醒百度公司重视百度网盘的秒传、分享、离线下载等功能可能引起的侵权问题。要求百度公司在现有运行机制包括用户协议中明确法律提示条款、设置</w:t>
      </w:r>
      <w:r w:rsidRPr="00AF0159">
        <w:rPr>
          <w:rFonts w:ascii="仿宋_GB2312" w:eastAsia="仿宋_GB2312"/>
          <w:sz w:val="30"/>
          <w:szCs w:val="30"/>
        </w:rPr>
        <w:t>robots</w:t>
      </w:r>
      <w:r w:rsidRPr="00AF0159">
        <w:rPr>
          <w:rFonts w:ascii="仿宋_GB2312" w:eastAsia="仿宋_GB2312" w:hint="eastAsia"/>
          <w:sz w:val="30"/>
          <w:szCs w:val="30"/>
        </w:rPr>
        <w:t>协议等基础上，仍然应当主动积极应对新技术开发、新应用场景、新业态运营在市场拓展过程中可能引发的侵权现象，关注其中可能存在的侵权风险，同步优化网络平台自身的技术安排和运维体系，特别是支持更多方式查询、提取网盘帐号中存储文件在网盘内、外交互传输状况，以进一步完善、提升保护知识产权的数据信息管理能力、技术处理能力和侵权投诉处理质量，及时采取合理措施预防侵权、制止侵权，净化互联网环境。</w:t>
      </w:r>
    </w:p>
    <w:p w:rsidR="00D906DC" w:rsidRDefault="00D906DC" w:rsidP="005F3E79">
      <w:pPr>
        <w:adjustRightInd w:val="0"/>
        <w:snapToGrid w:val="0"/>
        <w:spacing w:line="520" w:lineRule="exact"/>
        <w:ind w:firstLineChars="200" w:firstLine="600"/>
        <w:rPr>
          <w:rFonts w:ascii="仿宋_GB2312" w:eastAsia="仿宋_GB2312"/>
          <w:sz w:val="30"/>
          <w:szCs w:val="30"/>
        </w:rPr>
      </w:pPr>
      <w:r w:rsidRPr="00AF0159">
        <w:rPr>
          <w:rFonts w:ascii="仿宋_GB2312" w:eastAsia="仿宋_GB2312" w:hint="eastAsia"/>
          <w:sz w:val="30"/>
          <w:szCs w:val="30"/>
        </w:rPr>
        <w:t>因此，该案判决明确界定了网络服务提供者的注意义务程度及范围，厘清了云存储等新技术背景下信息网络传播权的保护边界，平衡了涉网盘服务各方主体的利益，有利于保障公众对新型网络工具的正当使用，并促进网盘、云盘等互联网技术的发展。</w:t>
      </w:r>
    </w:p>
    <w:p w:rsidR="00D906DC" w:rsidRDefault="00D906DC" w:rsidP="00E711DA">
      <w:pPr>
        <w:pStyle w:val="1"/>
      </w:pPr>
      <w:r>
        <w:rPr>
          <w:rFonts w:ascii="仿宋_GB2312" w:eastAsia="仿宋_GB2312"/>
        </w:rPr>
        <w:br w:type="page"/>
      </w:r>
      <w:bookmarkStart w:id="8" w:name="_Toc38029049"/>
      <w:r>
        <w:rPr>
          <w:rFonts w:ascii="仿宋_GB2312" w:eastAsia="仿宋_GB2312"/>
        </w:rPr>
        <w:lastRenderedPageBreak/>
        <w:t>4.</w:t>
      </w:r>
      <w:r w:rsidRPr="009E40AB">
        <w:rPr>
          <w:rFonts w:hint="eastAsia"/>
        </w:rPr>
        <w:t>新商标法修订后国内</w:t>
      </w:r>
      <w:r>
        <w:rPr>
          <w:rFonts w:hint="eastAsia"/>
        </w:rPr>
        <w:t>判赔数额最高的</w:t>
      </w:r>
      <w:r w:rsidRPr="009E40AB">
        <w:rPr>
          <w:rFonts w:hint="eastAsia"/>
        </w:rPr>
        <w:t>适用惩罚性赔偿</w:t>
      </w:r>
      <w:r>
        <w:rPr>
          <w:rFonts w:hint="eastAsia"/>
        </w:rPr>
        <w:t>制度</w:t>
      </w:r>
      <w:r w:rsidRPr="009E40AB">
        <w:rPr>
          <w:rFonts w:hint="eastAsia"/>
        </w:rPr>
        <w:t>保护“小米”驰名商标案</w:t>
      </w:r>
      <w:bookmarkEnd w:id="8"/>
    </w:p>
    <w:p w:rsidR="00D906DC" w:rsidRPr="00093763" w:rsidRDefault="00D906DC" w:rsidP="00E711DA">
      <w:pPr>
        <w:pStyle w:val="2"/>
      </w:pPr>
      <w:bookmarkStart w:id="9" w:name="_Toc38029050"/>
      <w:r w:rsidRPr="00753BB1">
        <w:rPr>
          <w:rFonts w:cs="仿宋_GB2312"/>
        </w:rPr>
        <w:t>——</w:t>
      </w:r>
      <w:r w:rsidRPr="00093763">
        <w:rPr>
          <w:rFonts w:hint="eastAsia"/>
        </w:rPr>
        <w:t>小米科技有限责任公司等诉中山奔腾电器有限公司等商标侵权及不正当竞争纠纷案</w:t>
      </w:r>
      <w:bookmarkEnd w:id="9"/>
    </w:p>
    <w:p w:rsidR="00D906DC" w:rsidRPr="00093763" w:rsidRDefault="00D906DC" w:rsidP="005F3E79">
      <w:pPr>
        <w:adjustRightInd w:val="0"/>
        <w:snapToGrid w:val="0"/>
        <w:spacing w:line="520" w:lineRule="exact"/>
        <w:ind w:firstLineChars="200" w:firstLine="600"/>
        <w:rPr>
          <w:rFonts w:ascii="仿宋_GB2312" w:eastAsia="仿宋_GB2312"/>
          <w:sz w:val="30"/>
          <w:szCs w:val="30"/>
        </w:rPr>
      </w:pPr>
    </w:p>
    <w:p w:rsidR="00D906DC" w:rsidRPr="009E40AB" w:rsidRDefault="00D906DC" w:rsidP="005F3E79">
      <w:pPr>
        <w:adjustRightInd w:val="0"/>
        <w:snapToGrid w:val="0"/>
        <w:spacing w:line="520" w:lineRule="exact"/>
        <w:ind w:firstLineChars="200" w:firstLine="602"/>
        <w:rPr>
          <w:rFonts w:ascii="仿宋_GB2312" w:eastAsia="仿宋_GB2312"/>
          <w:b/>
          <w:bCs/>
          <w:sz w:val="30"/>
          <w:szCs w:val="30"/>
        </w:rPr>
      </w:pPr>
      <w:r w:rsidRPr="009E40AB">
        <w:rPr>
          <w:rFonts w:ascii="仿宋_GB2312" w:eastAsia="仿宋_GB2312" w:hint="eastAsia"/>
          <w:b/>
          <w:bCs/>
          <w:sz w:val="30"/>
          <w:szCs w:val="30"/>
        </w:rPr>
        <w:t>【案件信息】</w:t>
      </w:r>
    </w:p>
    <w:p w:rsidR="00D906DC" w:rsidRDefault="00D906DC" w:rsidP="005F3E79">
      <w:pPr>
        <w:adjustRightInd w:val="0"/>
        <w:snapToGrid w:val="0"/>
        <w:spacing w:line="520" w:lineRule="exact"/>
        <w:ind w:firstLineChars="200" w:firstLine="600"/>
        <w:rPr>
          <w:rFonts w:ascii="仿宋_GB2312" w:eastAsia="仿宋_GB2312"/>
          <w:sz w:val="30"/>
          <w:szCs w:val="30"/>
        </w:rPr>
      </w:pPr>
      <w:r w:rsidRPr="00093763">
        <w:rPr>
          <w:rFonts w:ascii="仿宋_GB2312" w:eastAsia="仿宋_GB2312" w:hint="eastAsia"/>
          <w:sz w:val="30"/>
          <w:szCs w:val="30"/>
        </w:rPr>
        <w:t>案号：南京中院（</w:t>
      </w:r>
      <w:r w:rsidRPr="00093763">
        <w:rPr>
          <w:rFonts w:ascii="仿宋_GB2312" w:eastAsia="仿宋_GB2312"/>
          <w:sz w:val="30"/>
          <w:szCs w:val="30"/>
        </w:rPr>
        <w:t>2018</w:t>
      </w:r>
      <w:r w:rsidRPr="00093763">
        <w:rPr>
          <w:rFonts w:ascii="仿宋_GB2312" w:eastAsia="仿宋_GB2312" w:hint="eastAsia"/>
          <w:sz w:val="30"/>
          <w:szCs w:val="30"/>
        </w:rPr>
        <w:t>）苏</w:t>
      </w:r>
      <w:r w:rsidRPr="00093763">
        <w:rPr>
          <w:rFonts w:ascii="仿宋_GB2312" w:eastAsia="仿宋_GB2312"/>
          <w:sz w:val="30"/>
          <w:szCs w:val="30"/>
        </w:rPr>
        <w:t>01</w:t>
      </w:r>
      <w:r w:rsidRPr="00093763">
        <w:rPr>
          <w:rFonts w:ascii="仿宋_GB2312" w:eastAsia="仿宋_GB2312" w:hint="eastAsia"/>
          <w:sz w:val="30"/>
          <w:szCs w:val="30"/>
        </w:rPr>
        <w:t>民初</w:t>
      </w:r>
      <w:r w:rsidRPr="00093763">
        <w:rPr>
          <w:rFonts w:ascii="仿宋_GB2312" w:eastAsia="仿宋_GB2312"/>
          <w:sz w:val="30"/>
          <w:szCs w:val="30"/>
        </w:rPr>
        <w:t>3207</w:t>
      </w:r>
      <w:r w:rsidRPr="00093763">
        <w:rPr>
          <w:rFonts w:ascii="仿宋_GB2312" w:eastAsia="仿宋_GB2312" w:hint="eastAsia"/>
          <w:sz w:val="30"/>
          <w:szCs w:val="30"/>
        </w:rPr>
        <w:t>号</w:t>
      </w:r>
    </w:p>
    <w:p w:rsidR="00D906DC" w:rsidRPr="00093763" w:rsidRDefault="00D906DC" w:rsidP="005F3E79">
      <w:pPr>
        <w:adjustRightInd w:val="0"/>
        <w:snapToGrid w:val="0"/>
        <w:spacing w:line="520" w:lineRule="exact"/>
        <w:ind w:firstLineChars="500" w:firstLine="1500"/>
        <w:rPr>
          <w:rFonts w:ascii="仿宋_GB2312" w:eastAsia="仿宋_GB2312"/>
          <w:sz w:val="30"/>
          <w:szCs w:val="30"/>
        </w:rPr>
      </w:pPr>
      <w:r w:rsidRPr="00093763">
        <w:rPr>
          <w:rFonts w:ascii="仿宋_GB2312" w:eastAsia="仿宋_GB2312" w:hint="eastAsia"/>
          <w:sz w:val="30"/>
          <w:szCs w:val="30"/>
        </w:rPr>
        <w:t>江苏高院（</w:t>
      </w:r>
      <w:r w:rsidRPr="00093763">
        <w:rPr>
          <w:rFonts w:ascii="仿宋_GB2312" w:eastAsia="仿宋_GB2312"/>
          <w:sz w:val="30"/>
          <w:szCs w:val="30"/>
        </w:rPr>
        <w:t>2019</w:t>
      </w:r>
      <w:r w:rsidRPr="00093763">
        <w:rPr>
          <w:rFonts w:ascii="仿宋_GB2312" w:eastAsia="仿宋_GB2312" w:hint="eastAsia"/>
          <w:sz w:val="30"/>
          <w:szCs w:val="30"/>
        </w:rPr>
        <w:t>）苏民终</w:t>
      </w:r>
      <w:r w:rsidRPr="00093763">
        <w:rPr>
          <w:rFonts w:ascii="仿宋_GB2312" w:eastAsia="仿宋_GB2312"/>
          <w:sz w:val="30"/>
          <w:szCs w:val="30"/>
        </w:rPr>
        <w:t>1316</w:t>
      </w:r>
      <w:r w:rsidRPr="00093763">
        <w:rPr>
          <w:rFonts w:ascii="仿宋_GB2312" w:eastAsia="仿宋_GB2312" w:hint="eastAsia"/>
          <w:sz w:val="30"/>
          <w:szCs w:val="30"/>
        </w:rPr>
        <w:t>号</w:t>
      </w:r>
    </w:p>
    <w:p w:rsidR="00D906DC" w:rsidRPr="00093763" w:rsidRDefault="00D906DC" w:rsidP="005F3E79">
      <w:pPr>
        <w:adjustRightInd w:val="0"/>
        <w:snapToGrid w:val="0"/>
        <w:spacing w:line="520" w:lineRule="exact"/>
        <w:ind w:firstLineChars="200" w:firstLine="600"/>
        <w:rPr>
          <w:rFonts w:ascii="仿宋_GB2312" w:eastAsia="仿宋_GB2312"/>
          <w:sz w:val="30"/>
          <w:szCs w:val="30"/>
        </w:rPr>
      </w:pPr>
      <w:r w:rsidRPr="00093763">
        <w:rPr>
          <w:rFonts w:ascii="仿宋_GB2312" w:eastAsia="仿宋_GB2312" w:hint="eastAsia"/>
          <w:sz w:val="30"/>
          <w:szCs w:val="30"/>
        </w:rPr>
        <w:t>原告：小米科技有限责任公司、小米通讯技术有限公司</w:t>
      </w:r>
    </w:p>
    <w:p w:rsidR="00D906DC" w:rsidRPr="00093763" w:rsidRDefault="00D906DC" w:rsidP="005F3E79">
      <w:pPr>
        <w:adjustRightInd w:val="0"/>
        <w:snapToGrid w:val="0"/>
        <w:spacing w:line="520" w:lineRule="exact"/>
        <w:ind w:firstLineChars="200" w:firstLine="600"/>
        <w:rPr>
          <w:rFonts w:ascii="仿宋_GB2312" w:eastAsia="仿宋_GB2312"/>
          <w:sz w:val="30"/>
          <w:szCs w:val="30"/>
        </w:rPr>
      </w:pPr>
      <w:r w:rsidRPr="00093763">
        <w:rPr>
          <w:rFonts w:ascii="仿宋_GB2312" w:eastAsia="仿宋_GB2312" w:hint="eastAsia"/>
          <w:sz w:val="30"/>
          <w:szCs w:val="30"/>
        </w:rPr>
        <w:t>被告：中山奔腾电器有限公司、中山独领风骚生活电器有限公司（原名中山米家生活电器有限公司）、江苏苏宁易购电子商务有限公司、麦</w:t>
      </w:r>
      <w:r>
        <w:rPr>
          <w:rFonts w:ascii="仿宋_GB2312" w:eastAsia="仿宋_GB2312" w:hint="eastAsia"/>
          <w:sz w:val="30"/>
          <w:szCs w:val="30"/>
        </w:rPr>
        <w:t>大亮</w:t>
      </w:r>
    </w:p>
    <w:p w:rsidR="00D906DC" w:rsidRPr="00C4366D" w:rsidRDefault="00D906DC" w:rsidP="005F3E79">
      <w:pPr>
        <w:adjustRightInd w:val="0"/>
        <w:snapToGrid w:val="0"/>
        <w:spacing w:line="520" w:lineRule="exact"/>
        <w:ind w:firstLineChars="200" w:firstLine="602"/>
        <w:rPr>
          <w:rFonts w:ascii="仿宋_GB2312" w:eastAsia="仿宋_GB2312"/>
          <w:b/>
          <w:bCs/>
          <w:sz w:val="30"/>
          <w:szCs w:val="30"/>
        </w:rPr>
      </w:pPr>
      <w:r w:rsidRPr="00C4366D">
        <w:rPr>
          <w:rFonts w:ascii="仿宋_GB2312" w:eastAsia="仿宋_GB2312" w:hint="eastAsia"/>
          <w:b/>
          <w:bCs/>
          <w:sz w:val="30"/>
          <w:szCs w:val="30"/>
        </w:rPr>
        <w:t>【裁判要旨】</w:t>
      </w:r>
    </w:p>
    <w:p w:rsidR="00D906DC" w:rsidRPr="00093763" w:rsidRDefault="00D906DC" w:rsidP="005F3E79">
      <w:pPr>
        <w:adjustRightInd w:val="0"/>
        <w:snapToGrid w:val="0"/>
        <w:spacing w:line="520" w:lineRule="exact"/>
        <w:ind w:firstLineChars="200" w:firstLine="600"/>
        <w:rPr>
          <w:rFonts w:ascii="仿宋_GB2312" w:eastAsia="仿宋_GB2312"/>
          <w:sz w:val="30"/>
          <w:szCs w:val="30"/>
        </w:rPr>
      </w:pPr>
      <w:r w:rsidRPr="00093763">
        <w:rPr>
          <w:rFonts w:ascii="仿宋_GB2312" w:eastAsia="仿宋_GB2312" w:hint="eastAsia"/>
          <w:sz w:val="30"/>
          <w:szCs w:val="30"/>
        </w:rPr>
        <w:t>人民法院在认定驰名商标时，不宜机械适用《驰名商标认定和保护规定》中关于具体时间节点等相关规定，应综合考虑商标法规定的各项驰名因素，并结合具体案件的特殊性对驰名事实作出全面</w:t>
      </w:r>
      <w:r>
        <w:rPr>
          <w:rFonts w:ascii="仿宋_GB2312" w:eastAsia="仿宋_GB2312" w:hint="eastAsia"/>
          <w:sz w:val="30"/>
          <w:szCs w:val="30"/>
        </w:rPr>
        <w:t>、</w:t>
      </w:r>
      <w:r w:rsidRPr="00093763">
        <w:rPr>
          <w:rFonts w:ascii="仿宋_GB2312" w:eastAsia="仿宋_GB2312" w:hint="eastAsia"/>
          <w:sz w:val="30"/>
          <w:szCs w:val="30"/>
        </w:rPr>
        <w:t>客观认定。</w:t>
      </w:r>
    </w:p>
    <w:p w:rsidR="00D906DC" w:rsidRPr="00093763" w:rsidRDefault="00D906DC" w:rsidP="005F3E79">
      <w:pPr>
        <w:adjustRightInd w:val="0"/>
        <w:snapToGrid w:val="0"/>
        <w:spacing w:line="520" w:lineRule="exact"/>
        <w:ind w:firstLineChars="200" w:firstLine="600"/>
        <w:rPr>
          <w:rFonts w:ascii="仿宋_GB2312" w:eastAsia="仿宋_GB2312"/>
          <w:sz w:val="30"/>
          <w:szCs w:val="30"/>
        </w:rPr>
      </w:pPr>
      <w:r w:rsidRPr="00093763">
        <w:rPr>
          <w:rFonts w:ascii="仿宋_GB2312" w:eastAsia="仿宋_GB2312" w:hint="eastAsia"/>
          <w:sz w:val="30"/>
          <w:szCs w:val="30"/>
        </w:rPr>
        <w:t>对于恶意侵权，情节严重的，可以适用惩罚性赔偿，以确定的补偿性损害赔偿数额为基数，在法定倍数范围内酌定损害赔偿额。在确定具体惩罚倍数时，应充分考虑侵权人的恶意程度和情节严重程度。</w:t>
      </w:r>
    </w:p>
    <w:p w:rsidR="00D906DC" w:rsidRPr="00DC71A6" w:rsidRDefault="00D906DC" w:rsidP="005F3E79">
      <w:pPr>
        <w:adjustRightInd w:val="0"/>
        <w:snapToGrid w:val="0"/>
        <w:spacing w:line="520" w:lineRule="exact"/>
        <w:ind w:firstLineChars="200" w:firstLine="602"/>
        <w:rPr>
          <w:rFonts w:ascii="仿宋_GB2312" w:eastAsia="仿宋_GB2312"/>
          <w:b/>
          <w:bCs/>
          <w:sz w:val="30"/>
          <w:szCs w:val="30"/>
        </w:rPr>
      </w:pPr>
      <w:r w:rsidRPr="00DC71A6">
        <w:rPr>
          <w:rFonts w:ascii="仿宋_GB2312" w:eastAsia="仿宋_GB2312" w:hint="eastAsia"/>
          <w:b/>
          <w:bCs/>
          <w:sz w:val="30"/>
          <w:szCs w:val="30"/>
        </w:rPr>
        <w:t>【基本案情】</w:t>
      </w:r>
    </w:p>
    <w:p w:rsidR="00D906DC" w:rsidRPr="00093763" w:rsidRDefault="00D906DC" w:rsidP="005F3E79">
      <w:pPr>
        <w:adjustRightInd w:val="0"/>
        <w:snapToGrid w:val="0"/>
        <w:spacing w:line="520" w:lineRule="exact"/>
        <w:ind w:firstLineChars="200" w:firstLine="600"/>
        <w:rPr>
          <w:rFonts w:ascii="仿宋_GB2312" w:eastAsia="仿宋_GB2312"/>
          <w:sz w:val="30"/>
          <w:szCs w:val="30"/>
        </w:rPr>
      </w:pPr>
      <w:r w:rsidRPr="00093763">
        <w:rPr>
          <w:rFonts w:ascii="仿宋_GB2312" w:eastAsia="仿宋_GB2312" w:hint="eastAsia"/>
          <w:sz w:val="30"/>
          <w:szCs w:val="30"/>
        </w:rPr>
        <w:t>小米科技有限责任公司（以下简称小米科技公司）、小米通讯技术有限公司（以下简称小米通讯公司）先后成立于</w:t>
      </w:r>
      <w:r w:rsidRPr="00093763">
        <w:rPr>
          <w:rFonts w:ascii="仿宋_GB2312" w:eastAsia="仿宋_GB2312"/>
          <w:sz w:val="30"/>
          <w:szCs w:val="30"/>
        </w:rPr>
        <w:t>2010</w:t>
      </w:r>
      <w:r w:rsidRPr="00093763">
        <w:rPr>
          <w:rFonts w:ascii="仿宋_GB2312" w:eastAsia="仿宋_GB2312" w:hint="eastAsia"/>
          <w:sz w:val="30"/>
          <w:szCs w:val="30"/>
        </w:rPr>
        <w:t>年</w:t>
      </w:r>
      <w:r w:rsidRPr="00093763">
        <w:rPr>
          <w:rFonts w:ascii="仿宋_GB2312" w:eastAsia="仿宋_GB2312"/>
          <w:sz w:val="30"/>
          <w:szCs w:val="30"/>
        </w:rPr>
        <w:t>3</w:t>
      </w:r>
      <w:r w:rsidRPr="00093763">
        <w:rPr>
          <w:rFonts w:ascii="仿宋_GB2312" w:eastAsia="仿宋_GB2312" w:hint="eastAsia"/>
          <w:sz w:val="30"/>
          <w:szCs w:val="30"/>
        </w:rPr>
        <w:t>月、</w:t>
      </w:r>
      <w:r w:rsidRPr="00093763">
        <w:rPr>
          <w:rFonts w:ascii="仿宋_GB2312" w:eastAsia="仿宋_GB2312"/>
          <w:sz w:val="30"/>
          <w:szCs w:val="30"/>
        </w:rPr>
        <w:t>2010</w:t>
      </w:r>
      <w:r w:rsidRPr="00093763">
        <w:rPr>
          <w:rFonts w:ascii="仿宋_GB2312" w:eastAsia="仿宋_GB2312" w:hint="eastAsia"/>
          <w:sz w:val="30"/>
          <w:szCs w:val="30"/>
        </w:rPr>
        <w:t>年</w:t>
      </w:r>
      <w:r w:rsidRPr="00093763">
        <w:rPr>
          <w:rFonts w:ascii="仿宋_GB2312" w:eastAsia="仿宋_GB2312"/>
          <w:sz w:val="30"/>
          <w:szCs w:val="30"/>
        </w:rPr>
        <w:t>8</w:t>
      </w:r>
      <w:r w:rsidRPr="00093763">
        <w:rPr>
          <w:rFonts w:ascii="仿宋_GB2312" w:eastAsia="仿宋_GB2312" w:hint="eastAsia"/>
          <w:sz w:val="30"/>
          <w:szCs w:val="30"/>
        </w:rPr>
        <w:t>月。</w:t>
      </w:r>
      <w:r w:rsidRPr="00093763">
        <w:rPr>
          <w:rFonts w:ascii="仿宋_GB2312" w:eastAsia="仿宋_GB2312"/>
          <w:sz w:val="30"/>
          <w:szCs w:val="30"/>
        </w:rPr>
        <w:t>2010</w:t>
      </w:r>
      <w:r w:rsidRPr="00093763">
        <w:rPr>
          <w:rFonts w:ascii="仿宋_GB2312" w:eastAsia="仿宋_GB2312" w:hint="eastAsia"/>
          <w:sz w:val="30"/>
          <w:szCs w:val="30"/>
        </w:rPr>
        <w:t>年</w:t>
      </w:r>
      <w:r w:rsidRPr="00093763">
        <w:rPr>
          <w:rFonts w:ascii="仿宋_GB2312" w:eastAsia="仿宋_GB2312"/>
          <w:sz w:val="30"/>
          <w:szCs w:val="30"/>
        </w:rPr>
        <w:t>4</w:t>
      </w:r>
      <w:r w:rsidRPr="00093763">
        <w:rPr>
          <w:rFonts w:ascii="仿宋_GB2312" w:eastAsia="仿宋_GB2312" w:hint="eastAsia"/>
          <w:sz w:val="30"/>
          <w:szCs w:val="30"/>
        </w:rPr>
        <w:t>月，小米科技公司申请注册“小米”商标。</w:t>
      </w:r>
      <w:r w:rsidRPr="00093763">
        <w:rPr>
          <w:rFonts w:ascii="仿宋_GB2312" w:eastAsia="仿宋_GB2312"/>
          <w:sz w:val="30"/>
          <w:szCs w:val="30"/>
        </w:rPr>
        <w:t>2011</w:t>
      </w:r>
      <w:r w:rsidRPr="00093763">
        <w:rPr>
          <w:rFonts w:ascii="仿宋_GB2312" w:eastAsia="仿宋_GB2312" w:hint="eastAsia"/>
          <w:sz w:val="30"/>
          <w:szCs w:val="30"/>
        </w:rPr>
        <w:t>年</w:t>
      </w:r>
      <w:r w:rsidRPr="00093763">
        <w:rPr>
          <w:rFonts w:ascii="仿宋_GB2312" w:eastAsia="仿宋_GB2312"/>
          <w:sz w:val="30"/>
          <w:szCs w:val="30"/>
        </w:rPr>
        <w:lastRenderedPageBreak/>
        <w:t>4</w:t>
      </w:r>
      <w:r w:rsidRPr="00093763">
        <w:rPr>
          <w:rFonts w:ascii="仿宋_GB2312" w:eastAsia="仿宋_GB2312" w:hint="eastAsia"/>
          <w:sz w:val="30"/>
          <w:szCs w:val="30"/>
        </w:rPr>
        <w:t>月，“小米”商标被核准注册，核定使用商品包括手提电话、可视电话等。此后还陆续申请注册了“</w:t>
      </w:r>
      <w:r w:rsidR="008E3AEC" w:rsidRPr="008906E9">
        <w:rPr>
          <w:rFonts w:ascii="仿宋_GB2312" w:eastAsia="仿宋_GB2312"/>
          <w:sz w:val="30"/>
          <w:szCs w:val="30"/>
        </w:rPr>
        <w:pict>
          <v:shape id="_x0000_i1034" type="#_x0000_t75" style="width:22.45pt;height:16.85pt;visibility:visible">
            <v:imagedata r:id="rId22" o:title=""/>
          </v:shape>
        </w:pict>
      </w:r>
      <w:r w:rsidRPr="00093763">
        <w:rPr>
          <w:rFonts w:ascii="仿宋_GB2312" w:eastAsia="仿宋_GB2312" w:hint="eastAsia"/>
          <w:sz w:val="30"/>
          <w:szCs w:val="30"/>
        </w:rPr>
        <w:t>”“智米”等一系列商标。小米科技公司、小米通讯公司通过“硬件</w:t>
      </w:r>
      <w:r w:rsidRPr="00093763">
        <w:rPr>
          <w:rFonts w:ascii="仿宋_GB2312" w:eastAsia="仿宋_GB2312"/>
          <w:sz w:val="30"/>
          <w:szCs w:val="30"/>
        </w:rPr>
        <w:t>+</w:t>
      </w:r>
      <w:r w:rsidRPr="00093763">
        <w:rPr>
          <w:rFonts w:ascii="仿宋_GB2312" w:eastAsia="仿宋_GB2312" w:hint="eastAsia"/>
          <w:sz w:val="30"/>
          <w:szCs w:val="30"/>
        </w:rPr>
        <w:t>软件</w:t>
      </w:r>
      <w:r w:rsidRPr="00093763">
        <w:rPr>
          <w:rFonts w:ascii="仿宋_GB2312" w:eastAsia="仿宋_GB2312"/>
          <w:sz w:val="30"/>
          <w:szCs w:val="30"/>
        </w:rPr>
        <w:t>+</w:t>
      </w:r>
      <w:r w:rsidRPr="00093763">
        <w:rPr>
          <w:rFonts w:ascii="仿宋_GB2312" w:eastAsia="仿宋_GB2312" w:hint="eastAsia"/>
          <w:sz w:val="30"/>
          <w:szCs w:val="30"/>
        </w:rPr>
        <w:t>互联网”的商业模式，在较短的时间内将小米手机打造成互联网品牌手机。自</w:t>
      </w:r>
      <w:r w:rsidRPr="00093763">
        <w:rPr>
          <w:rFonts w:ascii="仿宋_GB2312" w:eastAsia="仿宋_GB2312"/>
          <w:sz w:val="30"/>
          <w:szCs w:val="30"/>
        </w:rPr>
        <w:t>2010</w:t>
      </w:r>
      <w:r w:rsidRPr="00093763">
        <w:rPr>
          <w:rFonts w:ascii="仿宋_GB2312" w:eastAsia="仿宋_GB2312" w:hint="eastAsia"/>
          <w:sz w:val="30"/>
          <w:szCs w:val="30"/>
        </w:rPr>
        <w:t>年以来，先后获得一系列行业内的多项全国性荣誉，各大主流报纸、期刊、网络媒体等均对小米科技公司、小米通讯公司及其小米手机进行持续、广泛地宣传报道。在商业宣传时，小米科技公司、小米通讯公司还使用了经典的宣传语“为发烧而生”“做生活中的艺术品”、醒目的橙白配色等方式。</w:t>
      </w:r>
    </w:p>
    <w:p w:rsidR="00D906DC" w:rsidRPr="00093763" w:rsidRDefault="00D906DC" w:rsidP="005F3E79">
      <w:pPr>
        <w:adjustRightInd w:val="0"/>
        <w:snapToGrid w:val="0"/>
        <w:spacing w:line="520" w:lineRule="exact"/>
        <w:ind w:firstLineChars="200" w:firstLine="600"/>
        <w:rPr>
          <w:rFonts w:ascii="仿宋_GB2312" w:eastAsia="仿宋_GB2312"/>
          <w:sz w:val="30"/>
          <w:szCs w:val="30"/>
        </w:rPr>
      </w:pPr>
      <w:r w:rsidRPr="00093763">
        <w:rPr>
          <w:rFonts w:ascii="仿宋_GB2312" w:eastAsia="仿宋_GB2312"/>
          <w:sz w:val="30"/>
          <w:szCs w:val="30"/>
        </w:rPr>
        <w:t>2011</w:t>
      </w:r>
      <w:r w:rsidRPr="00093763">
        <w:rPr>
          <w:rFonts w:ascii="仿宋_GB2312" w:eastAsia="仿宋_GB2312" w:hint="eastAsia"/>
          <w:sz w:val="30"/>
          <w:szCs w:val="30"/>
        </w:rPr>
        <w:t>年</w:t>
      </w:r>
      <w:r w:rsidRPr="00093763">
        <w:rPr>
          <w:rFonts w:ascii="仿宋_GB2312" w:eastAsia="仿宋_GB2312"/>
          <w:sz w:val="30"/>
          <w:szCs w:val="30"/>
        </w:rPr>
        <w:t>11</w:t>
      </w:r>
      <w:r w:rsidRPr="00093763">
        <w:rPr>
          <w:rFonts w:ascii="仿宋_GB2312" w:eastAsia="仿宋_GB2312" w:hint="eastAsia"/>
          <w:sz w:val="30"/>
          <w:szCs w:val="30"/>
        </w:rPr>
        <w:t>月，中山奔腾电器有限公司（以下简称中山奔腾公司）申请注册“小米生活”商标，</w:t>
      </w:r>
      <w:r w:rsidRPr="00093763">
        <w:rPr>
          <w:rFonts w:ascii="仿宋_GB2312" w:eastAsia="仿宋_GB2312"/>
          <w:sz w:val="30"/>
          <w:szCs w:val="30"/>
        </w:rPr>
        <w:t>2012</w:t>
      </w:r>
      <w:r w:rsidRPr="00093763">
        <w:rPr>
          <w:rFonts w:ascii="仿宋_GB2312" w:eastAsia="仿宋_GB2312" w:hint="eastAsia"/>
          <w:sz w:val="30"/>
          <w:szCs w:val="30"/>
        </w:rPr>
        <w:t>年</w:t>
      </w:r>
      <w:r w:rsidRPr="00093763">
        <w:rPr>
          <w:rFonts w:ascii="仿宋_GB2312" w:eastAsia="仿宋_GB2312"/>
          <w:sz w:val="30"/>
          <w:szCs w:val="30"/>
        </w:rPr>
        <w:t>10</w:t>
      </w:r>
      <w:r w:rsidRPr="00093763">
        <w:rPr>
          <w:rFonts w:ascii="仿宋_GB2312" w:eastAsia="仿宋_GB2312" w:hint="eastAsia"/>
          <w:sz w:val="30"/>
          <w:szCs w:val="30"/>
        </w:rPr>
        <w:t>月初步审定公告。小米科技公司提出异议，</w:t>
      </w:r>
      <w:r w:rsidRPr="00093763">
        <w:rPr>
          <w:rFonts w:ascii="仿宋_GB2312" w:eastAsia="仿宋_GB2312"/>
          <w:sz w:val="30"/>
          <w:szCs w:val="30"/>
        </w:rPr>
        <w:t>2015</w:t>
      </w:r>
      <w:r w:rsidRPr="00093763">
        <w:rPr>
          <w:rFonts w:ascii="仿宋_GB2312" w:eastAsia="仿宋_GB2312" w:hint="eastAsia"/>
          <w:sz w:val="30"/>
          <w:szCs w:val="30"/>
        </w:rPr>
        <w:t>年该商标被核准注册，核定使用商品包括电炊具、热水器、电压力锅等。</w:t>
      </w:r>
      <w:r w:rsidRPr="00093763">
        <w:rPr>
          <w:rFonts w:ascii="仿宋_GB2312" w:eastAsia="仿宋_GB2312"/>
          <w:sz w:val="30"/>
          <w:szCs w:val="30"/>
        </w:rPr>
        <w:t>2018</w:t>
      </w:r>
      <w:r w:rsidRPr="00093763">
        <w:rPr>
          <w:rFonts w:ascii="仿宋_GB2312" w:eastAsia="仿宋_GB2312" w:hint="eastAsia"/>
          <w:sz w:val="30"/>
          <w:szCs w:val="30"/>
        </w:rPr>
        <w:t>年“小米生活”注册商标被国家工商行政管理总局商标评审委员会（以下简称国家商评委）以系通过不正当手段取得注册为由，裁定宣告无效，</w:t>
      </w:r>
      <w:r w:rsidRPr="00093763">
        <w:rPr>
          <w:rFonts w:ascii="仿宋_GB2312" w:eastAsia="仿宋_GB2312"/>
          <w:sz w:val="30"/>
          <w:szCs w:val="30"/>
        </w:rPr>
        <w:t>2019</w:t>
      </w:r>
      <w:r w:rsidRPr="00093763">
        <w:rPr>
          <w:rFonts w:ascii="仿宋_GB2312" w:eastAsia="仿宋_GB2312" w:hint="eastAsia"/>
          <w:sz w:val="30"/>
          <w:szCs w:val="30"/>
        </w:rPr>
        <w:t>年北京知识产权法院作出行政判决，驳回中山奔腾公司的诉讼请求。此外，在中山奔腾公司注册的</w:t>
      </w:r>
      <w:r w:rsidRPr="00093763">
        <w:rPr>
          <w:rFonts w:ascii="仿宋_GB2312" w:eastAsia="仿宋_GB2312"/>
          <w:sz w:val="30"/>
          <w:szCs w:val="30"/>
        </w:rPr>
        <w:t>90</w:t>
      </w:r>
      <w:r w:rsidRPr="00093763">
        <w:rPr>
          <w:rFonts w:ascii="仿宋_GB2312" w:eastAsia="仿宋_GB2312" w:hint="eastAsia"/>
          <w:sz w:val="30"/>
          <w:szCs w:val="30"/>
        </w:rPr>
        <w:t>余件商标中，不仅有在第</w:t>
      </w:r>
      <w:r w:rsidRPr="00093763">
        <w:rPr>
          <w:rFonts w:ascii="仿宋_GB2312" w:eastAsia="仿宋_GB2312"/>
          <w:sz w:val="30"/>
          <w:szCs w:val="30"/>
        </w:rPr>
        <w:t>7</w:t>
      </w:r>
      <w:r w:rsidRPr="00093763">
        <w:rPr>
          <w:rFonts w:ascii="仿宋_GB2312" w:eastAsia="仿宋_GB2312" w:hint="eastAsia"/>
          <w:sz w:val="30"/>
          <w:szCs w:val="30"/>
        </w:rPr>
        <w:t>、</w:t>
      </w:r>
      <w:r w:rsidRPr="00093763">
        <w:rPr>
          <w:rFonts w:ascii="仿宋_GB2312" w:eastAsia="仿宋_GB2312"/>
          <w:sz w:val="30"/>
          <w:szCs w:val="30"/>
        </w:rPr>
        <w:t>10</w:t>
      </w:r>
      <w:r w:rsidRPr="00093763">
        <w:rPr>
          <w:rFonts w:ascii="仿宋_GB2312" w:eastAsia="仿宋_GB2312" w:hint="eastAsia"/>
          <w:sz w:val="30"/>
          <w:szCs w:val="30"/>
        </w:rPr>
        <w:t>、</w:t>
      </w:r>
      <w:r w:rsidRPr="00093763">
        <w:rPr>
          <w:rFonts w:ascii="仿宋_GB2312" w:eastAsia="仿宋_GB2312"/>
          <w:sz w:val="30"/>
          <w:szCs w:val="30"/>
        </w:rPr>
        <w:t>11</w:t>
      </w:r>
      <w:r w:rsidRPr="00093763">
        <w:rPr>
          <w:rFonts w:ascii="仿宋_GB2312" w:eastAsia="仿宋_GB2312" w:hint="eastAsia"/>
          <w:sz w:val="30"/>
          <w:szCs w:val="30"/>
        </w:rPr>
        <w:t>等类别的商品上注册的多件与小米科技公司“小米”“智米”标识近似的商标，还有“百事可乐</w:t>
      </w:r>
      <w:r w:rsidRPr="00093763">
        <w:rPr>
          <w:rFonts w:ascii="仿宋_GB2312" w:eastAsia="仿宋_GB2312"/>
          <w:sz w:val="30"/>
          <w:szCs w:val="30"/>
        </w:rPr>
        <w:t>PAPSIPAPNE</w:t>
      </w:r>
      <w:r w:rsidRPr="00093763">
        <w:rPr>
          <w:rFonts w:ascii="仿宋_GB2312" w:eastAsia="仿宋_GB2312" w:hint="eastAsia"/>
          <w:sz w:val="30"/>
          <w:szCs w:val="30"/>
        </w:rPr>
        <w:t>”“盖乐世”“威猛先生”“奔腾大地”等与他人知名品牌相同或近似的商标。</w:t>
      </w:r>
    </w:p>
    <w:p w:rsidR="00D906DC" w:rsidRPr="00093763" w:rsidRDefault="00D906DC" w:rsidP="005F3E79">
      <w:pPr>
        <w:adjustRightInd w:val="0"/>
        <w:snapToGrid w:val="0"/>
        <w:spacing w:line="520" w:lineRule="exact"/>
        <w:ind w:firstLineChars="200" w:firstLine="600"/>
        <w:rPr>
          <w:rFonts w:ascii="仿宋_GB2312" w:eastAsia="仿宋_GB2312"/>
          <w:sz w:val="30"/>
          <w:szCs w:val="30"/>
        </w:rPr>
      </w:pPr>
      <w:r w:rsidRPr="00093763">
        <w:rPr>
          <w:rFonts w:ascii="仿宋_GB2312" w:eastAsia="仿宋_GB2312" w:hint="eastAsia"/>
          <w:sz w:val="30"/>
          <w:szCs w:val="30"/>
        </w:rPr>
        <w:t>小米科技公司、小米通讯公司提供的数份公证书显示，</w:t>
      </w:r>
      <w:r w:rsidRPr="00093763">
        <w:rPr>
          <w:rFonts w:ascii="仿宋_GB2312" w:eastAsia="仿宋_GB2312"/>
          <w:sz w:val="30"/>
          <w:szCs w:val="30"/>
        </w:rPr>
        <w:t>2016</w:t>
      </w:r>
      <w:r w:rsidRPr="00093763">
        <w:rPr>
          <w:rFonts w:ascii="仿宋_GB2312" w:eastAsia="仿宋_GB2312" w:hint="eastAsia"/>
          <w:sz w:val="30"/>
          <w:szCs w:val="30"/>
        </w:rPr>
        <w:t>年起，中山奔腾公司、中山独领风骚生活电器有限公司（以下简称中山独领公司）在其制造的电磁炉、电饭煲等被控侵权商品、经营场所、网站、域名、微信公众号等处突出使用“小米生活”标识。京东网、淘宝网、</w:t>
      </w:r>
      <w:r w:rsidRPr="00093763">
        <w:rPr>
          <w:rFonts w:ascii="仿宋_GB2312" w:eastAsia="仿宋_GB2312" w:hint="eastAsia"/>
          <w:sz w:val="30"/>
          <w:szCs w:val="30"/>
        </w:rPr>
        <w:lastRenderedPageBreak/>
        <w:t>苏宁易购等电商平台的涉案</w:t>
      </w:r>
      <w:r w:rsidRPr="00093763">
        <w:rPr>
          <w:rFonts w:ascii="仿宋_GB2312" w:eastAsia="仿宋_GB2312"/>
          <w:sz w:val="30"/>
          <w:szCs w:val="30"/>
        </w:rPr>
        <w:t>23</w:t>
      </w:r>
      <w:r w:rsidRPr="00093763">
        <w:rPr>
          <w:rFonts w:ascii="仿宋_GB2312" w:eastAsia="仿宋_GB2312" w:hint="eastAsia"/>
          <w:sz w:val="30"/>
          <w:szCs w:val="30"/>
        </w:rPr>
        <w:t>家店铺销售了被控侵权商品，小米科技公司、小米通讯公司以</w:t>
      </w:r>
      <w:r w:rsidRPr="00093763">
        <w:rPr>
          <w:rFonts w:ascii="仿宋_GB2312" w:eastAsia="仿宋_GB2312"/>
          <w:sz w:val="30"/>
          <w:szCs w:val="30"/>
        </w:rPr>
        <w:t>23</w:t>
      </w:r>
      <w:r w:rsidRPr="00093763">
        <w:rPr>
          <w:rFonts w:ascii="仿宋_GB2312" w:eastAsia="仿宋_GB2312" w:hint="eastAsia"/>
          <w:sz w:val="30"/>
          <w:szCs w:val="30"/>
        </w:rPr>
        <w:t>家店铺中商品的评论数量作为销售量，乘以商品单价，计算出以上店铺销售被控侵权商品的总金额为</w:t>
      </w:r>
      <w:r w:rsidRPr="00093763">
        <w:rPr>
          <w:rFonts w:ascii="仿宋_GB2312" w:eastAsia="仿宋_GB2312"/>
          <w:sz w:val="30"/>
          <w:szCs w:val="30"/>
        </w:rPr>
        <w:t>76153888.8</w:t>
      </w:r>
      <w:r w:rsidRPr="00093763">
        <w:rPr>
          <w:rFonts w:ascii="仿宋_GB2312" w:eastAsia="仿宋_GB2312" w:hint="eastAsia"/>
          <w:sz w:val="30"/>
          <w:szCs w:val="30"/>
        </w:rPr>
        <w:t>元。</w:t>
      </w:r>
    </w:p>
    <w:p w:rsidR="00D906DC" w:rsidRPr="00093763" w:rsidRDefault="00D906DC" w:rsidP="005F3E79">
      <w:pPr>
        <w:adjustRightInd w:val="0"/>
        <w:snapToGrid w:val="0"/>
        <w:spacing w:line="520" w:lineRule="exact"/>
        <w:ind w:firstLineChars="200" w:firstLine="600"/>
        <w:rPr>
          <w:rFonts w:ascii="仿宋_GB2312" w:eastAsia="仿宋_GB2312"/>
          <w:sz w:val="30"/>
          <w:szCs w:val="30"/>
        </w:rPr>
      </w:pPr>
      <w:r w:rsidRPr="00093763">
        <w:rPr>
          <w:rFonts w:ascii="仿宋_GB2312" w:eastAsia="仿宋_GB2312" w:hint="eastAsia"/>
          <w:sz w:val="30"/>
          <w:szCs w:val="30"/>
        </w:rPr>
        <w:t>小米科技公司、小米通讯公司认为，“小米”商标经过长期广泛使用，在市场上已经属于具有极高知名度和美誉度的驰名商标。中山奔腾公司、中山独领公司等共同实施了侵犯“小米”驰名商标专用权的行为；中山奔腾公司、中山独领公司在产品的宣传和推广中使用与“小米”品牌近似的配色、广告语，构成虚假宣传的不正当竞争行为，故</w:t>
      </w:r>
      <w:r w:rsidRPr="00E75EBB">
        <w:rPr>
          <w:rFonts w:ascii="仿宋_GB2312" w:eastAsia="仿宋_GB2312" w:hint="eastAsia"/>
          <w:sz w:val="30"/>
          <w:szCs w:val="30"/>
        </w:rPr>
        <w:t>诉至法院</w:t>
      </w:r>
      <w:r w:rsidRPr="00093763">
        <w:rPr>
          <w:rFonts w:ascii="仿宋_GB2312" w:eastAsia="仿宋_GB2312" w:hint="eastAsia"/>
          <w:sz w:val="30"/>
          <w:szCs w:val="30"/>
        </w:rPr>
        <w:t>，请求判令中山奔腾公司、中山独领公司等停止侵权、消除影响，并连带赔偿其经济损失</w:t>
      </w:r>
      <w:r w:rsidRPr="00093763">
        <w:rPr>
          <w:rFonts w:ascii="仿宋_GB2312" w:eastAsia="仿宋_GB2312"/>
          <w:sz w:val="30"/>
          <w:szCs w:val="30"/>
        </w:rPr>
        <w:t>5000</w:t>
      </w:r>
      <w:r w:rsidRPr="00093763">
        <w:rPr>
          <w:rFonts w:ascii="仿宋_GB2312" w:eastAsia="仿宋_GB2312" w:hint="eastAsia"/>
          <w:sz w:val="30"/>
          <w:szCs w:val="30"/>
        </w:rPr>
        <w:t>万元及合理支出</w:t>
      </w:r>
      <w:r w:rsidRPr="00093763">
        <w:rPr>
          <w:rFonts w:ascii="仿宋_GB2312" w:eastAsia="仿宋_GB2312"/>
          <w:sz w:val="30"/>
          <w:szCs w:val="30"/>
        </w:rPr>
        <w:t>414198</w:t>
      </w:r>
      <w:r w:rsidRPr="00093763">
        <w:rPr>
          <w:rFonts w:ascii="仿宋_GB2312" w:eastAsia="仿宋_GB2312" w:hint="eastAsia"/>
          <w:sz w:val="30"/>
          <w:szCs w:val="30"/>
        </w:rPr>
        <w:t>元。</w:t>
      </w:r>
    </w:p>
    <w:p w:rsidR="00D906DC" w:rsidRPr="00093763" w:rsidRDefault="00D906DC" w:rsidP="005F3E79">
      <w:pPr>
        <w:adjustRightInd w:val="0"/>
        <w:snapToGrid w:val="0"/>
        <w:spacing w:line="520" w:lineRule="exact"/>
        <w:ind w:firstLineChars="200" w:firstLine="600"/>
        <w:rPr>
          <w:rFonts w:ascii="仿宋_GB2312" w:eastAsia="仿宋_GB2312"/>
          <w:sz w:val="30"/>
          <w:szCs w:val="30"/>
        </w:rPr>
      </w:pPr>
      <w:r w:rsidRPr="00093763">
        <w:rPr>
          <w:rFonts w:ascii="仿宋_GB2312" w:eastAsia="仿宋_GB2312" w:hint="eastAsia"/>
          <w:sz w:val="30"/>
          <w:szCs w:val="30"/>
        </w:rPr>
        <w:t>中山奔腾公司、中山独领公司等辩称：</w:t>
      </w:r>
      <w:r w:rsidRPr="00093763">
        <w:rPr>
          <w:rFonts w:ascii="仿宋_GB2312" w:eastAsia="仿宋_GB2312"/>
          <w:sz w:val="30"/>
          <w:szCs w:val="30"/>
        </w:rPr>
        <w:t>1.</w:t>
      </w:r>
      <w:r w:rsidRPr="00093763">
        <w:rPr>
          <w:rFonts w:ascii="仿宋_GB2312" w:eastAsia="仿宋_GB2312" w:hint="eastAsia"/>
          <w:sz w:val="30"/>
          <w:szCs w:val="30"/>
        </w:rPr>
        <w:t>在中山奔腾公司</w:t>
      </w:r>
      <w:r w:rsidRPr="00093763">
        <w:rPr>
          <w:rFonts w:ascii="仿宋_GB2312" w:eastAsia="仿宋_GB2312"/>
          <w:sz w:val="30"/>
          <w:szCs w:val="30"/>
        </w:rPr>
        <w:t>2011</w:t>
      </w:r>
      <w:r w:rsidRPr="00093763">
        <w:rPr>
          <w:rFonts w:ascii="仿宋_GB2312" w:eastAsia="仿宋_GB2312" w:hint="eastAsia"/>
          <w:sz w:val="30"/>
          <w:szCs w:val="30"/>
        </w:rPr>
        <w:t>年</w:t>
      </w:r>
      <w:r w:rsidRPr="00093763">
        <w:rPr>
          <w:rFonts w:ascii="仿宋_GB2312" w:eastAsia="仿宋_GB2312"/>
          <w:sz w:val="30"/>
          <w:szCs w:val="30"/>
        </w:rPr>
        <w:t>11</w:t>
      </w:r>
      <w:r w:rsidRPr="00093763">
        <w:rPr>
          <w:rFonts w:ascii="仿宋_GB2312" w:eastAsia="仿宋_GB2312" w:hint="eastAsia"/>
          <w:sz w:val="30"/>
          <w:szCs w:val="30"/>
        </w:rPr>
        <w:t>月</w:t>
      </w:r>
      <w:r w:rsidRPr="00093763">
        <w:rPr>
          <w:rFonts w:ascii="仿宋_GB2312" w:eastAsia="仿宋_GB2312"/>
          <w:sz w:val="30"/>
          <w:szCs w:val="30"/>
        </w:rPr>
        <w:t>23</w:t>
      </w:r>
      <w:r w:rsidRPr="00093763">
        <w:rPr>
          <w:rFonts w:ascii="仿宋_GB2312" w:eastAsia="仿宋_GB2312" w:hint="eastAsia"/>
          <w:sz w:val="30"/>
          <w:szCs w:val="30"/>
        </w:rPr>
        <w:t>日申请注册“小米生活”前，“小米”商标不具有知名度，不可能达到驰名的程度，不应适用驰名商标的跨类保护。</w:t>
      </w:r>
      <w:r w:rsidRPr="00093763">
        <w:rPr>
          <w:rFonts w:ascii="仿宋_GB2312" w:eastAsia="仿宋_GB2312"/>
          <w:sz w:val="30"/>
          <w:szCs w:val="30"/>
        </w:rPr>
        <w:t>2.</w:t>
      </w:r>
      <w:r w:rsidRPr="00093763">
        <w:rPr>
          <w:rFonts w:ascii="仿宋_GB2312" w:eastAsia="仿宋_GB2312" w:hint="eastAsia"/>
          <w:sz w:val="30"/>
          <w:szCs w:val="30"/>
        </w:rPr>
        <w:t>其广告宣传、包装与小米科技公司、小米通讯公司完全不一样，不构成不正当竞争，且从未作虚假宣传。</w:t>
      </w:r>
      <w:r w:rsidRPr="00093763">
        <w:rPr>
          <w:rFonts w:ascii="仿宋_GB2312" w:eastAsia="仿宋_GB2312"/>
          <w:sz w:val="30"/>
          <w:szCs w:val="30"/>
        </w:rPr>
        <w:t>3.</w:t>
      </w:r>
      <w:r w:rsidRPr="00093763">
        <w:rPr>
          <w:rFonts w:ascii="仿宋_GB2312" w:eastAsia="仿宋_GB2312" w:hint="eastAsia"/>
          <w:sz w:val="30"/>
          <w:szCs w:val="30"/>
        </w:rPr>
        <w:t>小米科技公司、小米通讯公司要求其连带赔偿损失及合理费用没有事实和法律依据。</w:t>
      </w:r>
    </w:p>
    <w:p w:rsidR="00D906DC" w:rsidRPr="00DC71A6" w:rsidRDefault="00D906DC" w:rsidP="005F3E79">
      <w:pPr>
        <w:adjustRightInd w:val="0"/>
        <w:snapToGrid w:val="0"/>
        <w:spacing w:line="520" w:lineRule="exact"/>
        <w:ind w:firstLineChars="200" w:firstLine="602"/>
        <w:rPr>
          <w:rFonts w:ascii="仿宋_GB2312" w:eastAsia="仿宋_GB2312"/>
          <w:b/>
          <w:bCs/>
          <w:sz w:val="30"/>
          <w:szCs w:val="30"/>
        </w:rPr>
      </w:pPr>
      <w:r w:rsidRPr="00DC71A6">
        <w:rPr>
          <w:rFonts w:ascii="仿宋_GB2312" w:eastAsia="仿宋_GB2312" w:hint="eastAsia"/>
          <w:b/>
          <w:bCs/>
          <w:sz w:val="30"/>
          <w:szCs w:val="30"/>
        </w:rPr>
        <w:t>【法院认为】</w:t>
      </w:r>
    </w:p>
    <w:p w:rsidR="00D906DC" w:rsidRDefault="00D906DC" w:rsidP="005F3E79">
      <w:pPr>
        <w:adjustRightInd w:val="0"/>
        <w:snapToGrid w:val="0"/>
        <w:spacing w:line="520" w:lineRule="exact"/>
        <w:ind w:firstLineChars="200" w:firstLine="600"/>
        <w:rPr>
          <w:rFonts w:ascii="仿宋_GB2312" w:eastAsia="仿宋_GB2312"/>
          <w:sz w:val="30"/>
          <w:szCs w:val="30"/>
        </w:rPr>
      </w:pPr>
      <w:r w:rsidRPr="00093763">
        <w:rPr>
          <w:rFonts w:ascii="仿宋_GB2312" w:eastAsia="仿宋_GB2312" w:hint="eastAsia"/>
          <w:sz w:val="30"/>
          <w:szCs w:val="30"/>
        </w:rPr>
        <w:t>南京中院一审认为：</w:t>
      </w:r>
    </w:p>
    <w:p w:rsidR="00D906DC" w:rsidRPr="00093763" w:rsidRDefault="00D906DC" w:rsidP="005F3E79">
      <w:pPr>
        <w:adjustRightInd w:val="0"/>
        <w:snapToGrid w:val="0"/>
        <w:spacing w:line="520" w:lineRule="exact"/>
        <w:ind w:firstLineChars="200" w:firstLine="600"/>
        <w:rPr>
          <w:rFonts w:ascii="仿宋_GB2312" w:eastAsia="仿宋_GB2312"/>
          <w:sz w:val="30"/>
          <w:szCs w:val="30"/>
        </w:rPr>
      </w:pPr>
      <w:r w:rsidRPr="00093763">
        <w:rPr>
          <w:rFonts w:ascii="仿宋_GB2312" w:eastAsia="仿宋_GB2312" w:hint="eastAsia"/>
          <w:sz w:val="30"/>
          <w:szCs w:val="30"/>
        </w:rPr>
        <w:t>一、涉案第</w:t>
      </w:r>
      <w:r w:rsidRPr="00093763">
        <w:rPr>
          <w:rFonts w:ascii="仿宋_GB2312" w:eastAsia="仿宋_GB2312"/>
          <w:sz w:val="30"/>
          <w:szCs w:val="30"/>
        </w:rPr>
        <w:t>8228211</w:t>
      </w:r>
      <w:r w:rsidRPr="00093763">
        <w:rPr>
          <w:rFonts w:ascii="仿宋_GB2312" w:eastAsia="仿宋_GB2312" w:hint="eastAsia"/>
          <w:sz w:val="30"/>
          <w:szCs w:val="30"/>
        </w:rPr>
        <w:t>号“小米”商标构成驰名商标。涉案“小米”商标及其小米手机获得公众关注的方式有不同于其他商标和商品的特别之处。小米手机在发布、上市前，允许手机发烧友参与手机系统的开发、提出意见建议，吸引了数量较大的相关公众对其手机保持关注；在其手机发布当天，其手机的搜索量和关注度明显大幅增长，高于其</w:t>
      </w:r>
      <w:r w:rsidRPr="00093763">
        <w:rPr>
          <w:rFonts w:ascii="仿宋_GB2312" w:eastAsia="仿宋_GB2312" w:hint="eastAsia"/>
          <w:sz w:val="30"/>
          <w:szCs w:val="30"/>
        </w:rPr>
        <w:lastRenderedPageBreak/>
        <w:t>他品牌手机，表明市场及消费者均对其手机持续保持关注，具有一定的影响力；小米科技公司、小米通讯公司采取了集中预订销售的方式，在短时间内将</w:t>
      </w:r>
      <w:r w:rsidRPr="00093763">
        <w:rPr>
          <w:rFonts w:ascii="仿宋_GB2312" w:eastAsia="仿宋_GB2312"/>
          <w:sz w:val="30"/>
          <w:szCs w:val="30"/>
        </w:rPr>
        <w:t>40</w:t>
      </w:r>
      <w:r w:rsidRPr="00093763">
        <w:rPr>
          <w:rFonts w:ascii="仿宋_GB2312" w:eastAsia="仿宋_GB2312" w:hint="eastAsia"/>
          <w:sz w:val="30"/>
          <w:szCs w:val="30"/>
        </w:rPr>
        <w:t>万台手机投入市场并进入消费者手中。小米手机作为一个全新品牌的手机，在当年</w:t>
      </w:r>
      <w:r w:rsidRPr="00093763">
        <w:rPr>
          <w:rFonts w:ascii="仿宋_GB2312" w:eastAsia="仿宋_GB2312"/>
          <w:sz w:val="30"/>
          <w:szCs w:val="30"/>
        </w:rPr>
        <w:t>8</w:t>
      </w:r>
      <w:r w:rsidRPr="00093763">
        <w:rPr>
          <w:rFonts w:ascii="仿宋_GB2312" w:eastAsia="仿宋_GB2312" w:hint="eastAsia"/>
          <w:sz w:val="30"/>
          <w:szCs w:val="30"/>
        </w:rPr>
        <w:t>月才向市场发布，</w:t>
      </w:r>
      <w:r w:rsidRPr="00093763">
        <w:rPr>
          <w:rFonts w:ascii="仿宋_GB2312" w:eastAsia="仿宋_GB2312"/>
          <w:sz w:val="30"/>
          <w:szCs w:val="30"/>
        </w:rPr>
        <w:t>9</w:t>
      </w:r>
      <w:r w:rsidRPr="00093763">
        <w:rPr>
          <w:rFonts w:ascii="仿宋_GB2312" w:eastAsia="仿宋_GB2312" w:hint="eastAsia"/>
          <w:sz w:val="30"/>
          <w:szCs w:val="30"/>
        </w:rPr>
        <w:t>月才开始接受预订，故不宜以常规性的全年销售数量及市场份额占比衡量其在公众中的知晓程度。“小米”商标注册、小米手机投入市场后，在短时间内所形成的知名度、关注度较高，影响力较大。“小米”商标在获准注册后持续使用至今，小米科技公司、小米通讯公司对该商标及使用该商标的商品的宣传持续时间长、方式多样、费用金额巨大、范围遍及全国，该商标被抢注、被侵权的情形多发、较为严重，</w:t>
      </w:r>
      <w:r w:rsidRPr="00B161B3">
        <w:rPr>
          <w:rFonts w:ascii="仿宋_GB2312" w:eastAsia="仿宋_GB2312" w:hint="eastAsia"/>
          <w:sz w:val="30"/>
          <w:szCs w:val="30"/>
        </w:rPr>
        <w:t>国家工商行政管理总局商标局</w:t>
      </w:r>
      <w:r w:rsidRPr="00093763">
        <w:rPr>
          <w:rFonts w:ascii="仿宋_GB2312" w:eastAsia="仿宋_GB2312" w:hint="eastAsia"/>
          <w:sz w:val="30"/>
          <w:szCs w:val="30"/>
        </w:rPr>
        <w:t>、国家商评委多次作出不予注册、宣告争议商标无效的决定，法院亦作出认定构成侵权的判决。因此，“小米”商标在中山奔腾公司申请注册“小米生活”商标时已构成驰名商标。中山奔腾公司、中山独领公司、</w:t>
      </w:r>
      <w:r>
        <w:rPr>
          <w:rFonts w:ascii="仿宋_GB2312" w:eastAsia="仿宋_GB2312" w:hint="eastAsia"/>
          <w:sz w:val="30"/>
          <w:szCs w:val="30"/>
        </w:rPr>
        <w:t>麦大亮</w:t>
      </w:r>
      <w:r w:rsidRPr="00093763">
        <w:rPr>
          <w:rFonts w:ascii="仿宋_GB2312" w:eastAsia="仿宋_GB2312" w:hint="eastAsia"/>
          <w:sz w:val="30"/>
          <w:szCs w:val="30"/>
        </w:rPr>
        <w:t>的行为侵犯了涉案“小米”注册商标专用权并构成不正当竞争。</w:t>
      </w:r>
    </w:p>
    <w:p w:rsidR="00D906DC" w:rsidRPr="00093763" w:rsidRDefault="00D906DC" w:rsidP="005F3E79">
      <w:pPr>
        <w:adjustRightInd w:val="0"/>
        <w:snapToGrid w:val="0"/>
        <w:spacing w:line="520" w:lineRule="exact"/>
        <w:ind w:firstLineChars="200" w:firstLine="600"/>
        <w:rPr>
          <w:rFonts w:ascii="仿宋_GB2312" w:eastAsia="仿宋_GB2312"/>
          <w:sz w:val="30"/>
          <w:szCs w:val="30"/>
        </w:rPr>
      </w:pPr>
      <w:r w:rsidRPr="00093763">
        <w:rPr>
          <w:rFonts w:ascii="仿宋_GB2312" w:eastAsia="仿宋_GB2312" w:hint="eastAsia"/>
          <w:sz w:val="30"/>
          <w:szCs w:val="30"/>
        </w:rPr>
        <w:t>二、中山奔腾公司、中山独领公司、</w:t>
      </w:r>
      <w:r>
        <w:rPr>
          <w:rFonts w:ascii="仿宋_GB2312" w:eastAsia="仿宋_GB2312" w:hint="eastAsia"/>
          <w:sz w:val="30"/>
          <w:szCs w:val="30"/>
        </w:rPr>
        <w:t>麦大亮</w:t>
      </w:r>
      <w:r w:rsidRPr="00093763">
        <w:rPr>
          <w:rFonts w:ascii="仿宋_GB2312" w:eastAsia="仿宋_GB2312" w:hint="eastAsia"/>
          <w:sz w:val="30"/>
          <w:szCs w:val="30"/>
        </w:rPr>
        <w:t>应承担的民事责任。中山奔腾公司、中山独领公司应当承担停止侵权、消除影响、赔偿损失的责任。</w:t>
      </w:r>
      <w:r>
        <w:rPr>
          <w:rFonts w:ascii="仿宋_GB2312" w:eastAsia="仿宋_GB2312" w:hint="eastAsia"/>
          <w:sz w:val="30"/>
          <w:szCs w:val="30"/>
        </w:rPr>
        <w:t>麦大亮</w:t>
      </w:r>
      <w:r w:rsidRPr="00093763">
        <w:rPr>
          <w:rFonts w:ascii="仿宋_GB2312" w:eastAsia="仿宋_GB2312" w:hint="eastAsia"/>
          <w:sz w:val="30"/>
          <w:szCs w:val="30"/>
        </w:rPr>
        <w:t>为中山奔腾公司、中山独领公司的侵权行为提供帮助，应当与两公司承担连带责任。关于赔偿损失及合理开支的数额，小米科技公司、小米通讯公司要求按照侵权人因侵权所获得的利益计算，并考虑驰名商标的显著性和知名度以及侵权时间、范围等因素，对本案恶意侵权行为适用惩罚性赔偿。一审法院认为，中山奔腾公司、中山独领公司的侵权行为具有极为明显的恶意，情节极为恶劣，所造成的后果亦十分严重，应当适用惩罚性赔偿。小米科技公司、小米通</w:t>
      </w:r>
      <w:r w:rsidRPr="00093763">
        <w:rPr>
          <w:rFonts w:ascii="仿宋_GB2312" w:eastAsia="仿宋_GB2312" w:hint="eastAsia"/>
          <w:sz w:val="30"/>
          <w:szCs w:val="30"/>
        </w:rPr>
        <w:lastRenderedPageBreak/>
        <w:t>讯公司根据</w:t>
      </w:r>
      <w:r w:rsidRPr="00093763">
        <w:rPr>
          <w:rFonts w:ascii="仿宋_GB2312" w:eastAsia="仿宋_GB2312"/>
          <w:sz w:val="30"/>
          <w:szCs w:val="30"/>
        </w:rPr>
        <w:t>23</w:t>
      </w:r>
      <w:r w:rsidRPr="00093763">
        <w:rPr>
          <w:rFonts w:ascii="仿宋_GB2312" w:eastAsia="仿宋_GB2312" w:hint="eastAsia"/>
          <w:sz w:val="30"/>
          <w:szCs w:val="30"/>
        </w:rPr>
        <w:t>家线上店铺评论数量计算的结果与法院调取的其中两家店铺数据对比可见，以评论数量计算的销售量及销售额并不准确，远低于实际的销售量及销售额。由此可以推断，以上店铺实际销售被控侵权产品的总额超过</w:t>
      </w:r>
      <w:r w:rsidRPr="00093763">
        <w:rPr>
          <w:rFonts w:ascii="仿宋_GB2312" w:eastAsia="仿宋_GB2312"/>
          <w:sz w:val="30"/>
          <w:szCs w:val="30"/>
        </w:rPr>
        <w:t>76153888.8</w:t>
      </w:r>
      <w:r w:rsidRPr="00093763">
        <w:rPr>
          <w:rFonts w:ascii="仿宋_GB2312" w:eastAsia="仿宋_GB2312" w:hint="eastAsia"/>
          <w:sz w:val="30"/>
          <w:szCs w:val="30"/>
        </w:rPr>
        <w:t>元，即使是只加上该两店铺的销售数据差额，销售总额也达</w:t>
      </w:r>
      <w:r w:rsidRPr="00093763">
        <w:rPr>
          <w:rFonts w:ascii="仿宋_GB2312" w:eastAsia="仿宋_GB2312"/>
          <w:sz w:val="30"/>
          <w:szCs w:val="30"/>
        </w:rPr>
        <w:t>83157636</w:t>
      </w:r>
      <w:r w:rsidRPr="00093763">
        <w:rPr>
          <w:rFonts w:ascii="仿宋_GB2312" w:eastAsia="仿宋_GB2312" w:hint="eastAsia"/>
          <w:sz w:val="30"/>
          <w:szCs w:val="30"/>
        </w:rPr>
        <w:t>元。国内两大电器上市公司的年度报告显示，小家电行业的毛利率为</w:t>
      </w:r>
      <w:r w:rsidRPr="00093763">
        <w:rPr>
          <w:rFonts w:ascii="仿宋_GB2312" w:eastAsia="仿宋_GB2312"/>
          <w:sz w:val="30"/>
          <w:szCs w:val="30"/>
        </w:rPr>
        <w:t>29.69%-37.01%</w:t>
      </w:r>
      <w:r w:rsidRPr="00093763">
        <w:rPr>
          <w:rFonts w:ascii="仿宋_GB2312" w:eastAsia="仿宋_GB2312" w:hint="eastAsia"/>
          <w:sz w:val="30"/>
          <w:szCs w:val="30"/>
        </w:rPr>
        <w:t>。中山奔腾公司、</w:t>
      </w:r>
      <w:r>
        <w:rPr>
          <w:rFonts w:ascii="仿宋_GB2312" w:eastAsia="仿宋_GB2312" w:hint="eastAsia"/>
          <w:sz w:val="30"/>
          <w:szCs w:val="30"/>
        </w:rPr>
        <w:t>中山</w:t>
      </w:r>
      <w:r w:rsidRPr="00093763">
        <w:rPr>
          <w:rFonts w:ascii="仿宋_GB2312" w:eastAsia="仿宋_GB2312" w:hint="eastAsia"/>
          <w:sz w:val="30"/>
          <w:szCs w:val="30"/>
        </w:rPr>
        <w:t>独领公司也为生产、销售小家电的企业，其规模虽小于上市公司，但其综合成本也应小于上市公司，其利润率应大于上市公司。以该两上市公司小家电毛利率的中间数</w:t>
      </w:r>
      <w:r w:rsidRPr="00093763">
        <w:rPr>
          <w:rFonts w:ascii="仿宋_GB2312" w:eastAsia="仿宋_GB2312"/>
          <w:sz w:val="30"/>
          <w:szCs w:val="30"/>
        </w:rPr>
        <w:t>33.35%</w:t>
      </w:r>
      <w:r w:rsidRPr="00093763">
        <w:rPr>
          <w:rFonts w:ascii="仿宋_GB2312" w:eastAsia="仿宋_GB2312" w:hint="eastAsia"/>
          <w:sz w:val="30"/>
          <w:szCs w:val="30"/>
        </w:rPr>
        <w:t>作为中山奔腾公司、</w:t>
      </w:r>
      <w:r>
        <w:rPr>
          <w:rFonts w:ascii="仿宋_GB2312" w:eastAsia="仿宋_GB2312" w:hint="eastAsia"/>
          <w:sz w:val="30"/>
          <w:szCs w:val="30"/>
        </w:rPr>
        <w:t>中山</w:t>
      </w:r>
      <w:r w:rsidRPr="00093763">
        <w:rPr>
          <w:rFonts w:ascii="仿宋_GB2312" w:eastAsia="仿宋_GB2312" w:hint="eastAsia"/>
          <w:sz w:val="30"/>
          <w:szCs w:val="30"/>
        </w:rPr>
        <w:t>独领公司制造、销售被控侵权产品的利润率较为公平合理，据此计算，其利润为</w:t>
      </w:r>
      <w:r w:rsidRPr="00093763">
        <w:rPr>
          <w:rFonts w:ascii="仿宋_GB2312" w:eastAsia="仿宋_GB2312"/>
          <w:sz w:val="30"/>
          <w:szCs w:val="30"/>
        </w:rPr>
        <w:t>27733071.6</w:t>
      </w:r>
      <w:r w:rsidRPr="00093763">
        <w:rPr>
          <w:rFonts w:ascii="仿宋_GB2312" w:eastAsia="仿宋_GB2312" w:hint="eastAsia"/>
          <w:sz w:val="30"/>
          <w:szCs w:val="30"/>
        </w:rPr>
        <w:t>元。按照侵权获利数额的二倍计算，数额为</w:t>
      </w:r>
      <w:r w:rsidRPr="00093763">
        <w:rPr>
          <w:rFonts w:ascii="仿宋_GB2312" w:eastAsia="仿宋_GB2312"/>
          <w:sz w:val="30"/>
          <w:szCs w:val="30"/>
        </w:rPr>
        <w:t>55466143.2</w:t>
      </w:r>
      <w:r w:rsidRPr="00093763">
        <w:rPr>
          <w:rFonts w:ascii="仿宋_GB2312" w:eastAsia="仿宋_GB2312" w:hint="eastAsia"/>
          <w:sz w:val="30"/>
          <w:szCs w:val="30"/>
        </w:rPr>
        <w:t>元，故对小米科技公司、小米通讯公司要求赔偿经济损失</w:t>
      </w:r>
      <w:r w:rsidRPr="00093763">
        <w:rPr>
          <w:rFonts w:ascii="仿宋_GB2312" w:eastAsia="仿宋_GB2312"/>
          <w:sz w:val="30"/>
          <w:szCs w:val="30"/>
        </w:rPr>
        <w:t>5000</w:t>
      </w:r>
      <w:r w:rsidRPr="00093763">
        <w:rPr>
          <w:rFonts w:ascii="仿宋_GB2312" w:eastAsia="仿宋_GB2312" w:hint="eastAsia"/>
          <w:sz w:val="30"/>
          <w:szCs w:val="30"/>
        </w:rPr>
        <w:t>万元的诉讼请求予以全额支持。小米科技公司、小米通讯公司为制止侵权行为支出律师费、公证费、财产保全保险费及文献检索费等费用共</w:t>
      </w:r>
      <w:r w:rsidRPr="00093763">
        <w:rPr>
          <w:rFonts w:ascii="仿宋_GB2312" w:eastAsia="仿宋_GB2312"/>
          <w:sz w:val="30"/>
          <w:szCs w:val="30"/>
        </w:rPr>
        <w:t>414198</w:t>
      </w:r>
      <w:r w:rsidRPr="00093763">
        <w:rPr>
          <w:rFonts w:ascii="仿宋_GB2312" w:eastAsia="仿宋_GB2312" w:hint="eastAsia"/>
          <w:sz w:val="30"/>
          <w:szCs w:val="30"/>
        </w:rPr>
        <w:t>元，有发票为证，且与其诉讼行为及提交的证据相对应，未超过相应标准，亦予以支持。</w:t>
      </w:r>
    </w:p>
    <w:p w:rsidR="00D906DC" w:rsidRPr="00093763" w:rsidRDefault="00D906DC" w:rsidP="005F3E79">
      <w:pPr>
        <w:adjustRightInd w:val="0"/>
        <w:snapToGrid w:val="0"/>
        <w:spacing w:line="520" w:lineRule="exact"/>
        <w:ind w:firstLineChars="200" w:firstLine="600"/>
        <w:rPr>
          <w:rFonts w:ascii="仿宋_GB2312" w:eastAsia="仿宋_GB2312"/>
          <w:sz w:val="30"/>
          <w:szCs w:val="30"/>
        </w:rPr>
      </w:pPr>
      <w:r w:rsidRPr="00093763">
        <w:rPr>
          <w:rFonts w:ascii="仿宋_GB2312" w:eastAsia="仿宋_GB2312" w:hint="eastAsia"/>
          <w:sz w:val="30"/>
          <w:szCs w:val="30"/>
        </w:rPr>
        <w:t>综上，南京中院一审判决：中山奔腾公司、中山独领公司、</w:t>
      </w:r>
      <w:r>
        <w:rPr>
          <w:rFonts w:ascii="仿宋_GB2312" w:eastAsia="仿宋_GB2312" w:hint="eastAsia"/>
          <w:sz w:val="30"/>
          <w:szCs w:val="30"/>
        </w:rPr>
        <w:t>麦大亮</w:t>
      </w:r>
      <w:r w:rsidRPr="00093763">
        <w:rPr>
          <w:rFonts w:ascii="仿宋_GB2312" w:eastAsia="仿宋_GB2312" w:hint="eastAsia"/>
          <w:sz w:val="30"/>
          <w:szCs w:val="30"/>
        </w:rPr>
        <w:t>停止侵权，赔偿经济损失</w:t>
      </w:r>
      <w:r w:rsidRPr="00093763">
        <w:rPr>
          <w:rFonts w:ascii="仿宋_GB2312" w:eastAsia="仿宋_GB2312"/>
          <w:sz w:val="30"/>
          <w:szCs w:val="30"/>
        </w:rPr>
        <w:t>5000</w:t>
      </w:r>
      <w:r w:rsidRPr="00093763">
        <w:rPr>
          <w:rFonts w:ascii="仿宋_GB2312" w:eastAsia="仿宋_GB2312" w:hint="eastAsia"/>
          <w:sz w:val="30"/>
          <w:szCs w:val="30"/>
        </w:rPr>
        <w:t>万元及合理开支</w:t>
      </w:r>
      <w:r w:rsidRPr="00093763">
        <w:rPr>
          <w:rFonts w:ascii="仿宋_GB2312" w:eastAsia="仿宋_GB2312"/>
          <w:sz w:val="30"/>
          <w:szCs w:val="30"/>
        </w:rPr>
        <w:t>414198</w:t>
      </w:r>
      <w:r w:rsidRPr="00093763">
        <w:rPr>
          <w:rFonts w:ascii="仿宋_GB2312" w:eastAsia="仿宋_GB2312" w:hint="eastAsia"/>
          <w:sz w:val="30"/>
          <w:szCs w:val="30"/>
        </w:rPr>
        <w:t>元，中山奔腾公司、中山独领公司在电商平台网站及中山奔腾公司官方网站刊登声明以消除影响。中山奔腾公司、中山独领公司及</w:t>
      </w:r>
      <w:r>
        <w:rPr>
          <w:rFonts w:ascii="仿宋_GB2312" w:eastAsia="仿宋_GB2312" w:hint="eastAsia"/>
          <w:sz w:val="30"/>
          <w:szCs w:val="30"/>
        </w:rPr>
        <w:t>麦大亮</w:t>
      </w:r>
      <w:r w:rsidRPr="00093763">
        <w:rPr>
          <w:rFonts w:ascii="仿宋_GB2312" w:eastAsia="仿宋_GB2312" w:hint="eastAsia"/>
          <w:sz w:val="30"/>
          <w:szCs w:val="30"/>
        </w:rPr>
        <w:t>不服一审判决，向江苏高院提起上诉。</w:t>
      </w:r>
    </w:p>
    <w:p w:rsidR="00D906DC" w:rsidRDefault="00D906DC" w:rsidP="005F3E79">
      <w:pPr>
        <w:adjustRightInd w:val="0"/>
        <w:snapToGrid w:val="0"/>
        <w:spacing w:line="520" w:lineRule="exact"/>
        <w:ind w:firstLineChars="200" w:firstLine="600"/>
        <w:rPr>
          <w:rFonts w:ascii="仿宋_GB2312" w:eastAsia="仿宋_GB2312"/>
          <w:sz w:val="30"/>
          <w:szCs w:val="30"/>
        </w:rPr>
      </w:pPr>
      <w:r w:rsidRPr="00093763">
        <w:rPr>
          <w:rFonts w:ascii="仿宋_GB2312" w:eastAsia="仿宋_GB2312" w:hint="eastAsia"/>
          <w:sz w:val="30"/>
          <w:szCs w:val="30"/>
        </w:rPr>
        <w:t>江苏高院二审认为：</w:t>
      </w:r>
    </w:p>
    <w:p w:rsidR="00D906DC" w:rsidRPr="00093763" w:rsidRDefault="00D906DC" w:rsidP="005F3E79">
      <w:pPr>
        <w:adjustRightInd w:val="0"/>
        <w:snapToGrid w:val="0"/>
        <w:spacing w:line="520" w:lineRule="exact"/>
        <w:ind w:firstLineChars="200" w:firstLine="600"/>
        <w:rPr>
          <w:rFonts w:ascii="仿宋_GB2312" w:eastAsia="仿宋_GB2312"/>
          <w:sz w:val="30"/>
          <w:szCs w:val="30"/>
        </w:rPr>
      </w:pPr>
      <w:r w:rsidRPr="00093763">
        <w:rPr>
          <w:rFonts w:ascii="仿宋_GB2312" w:eastAsia="仿宋_GB2312" w:hint="eastAsia"/>
          <w:sz w:val="30"/>
          <w:szCs w:val="30"/>
        </w:rPr>
        <w:t>一、在中山奔腾公司申请注册“小米生活”商标之前，“小米”注册商标已达到驰名状态。在认定涉案“小米”商标是否驰名时，应着</w:t>
      </w:r>
      <w:r w:rsidRPr="00093763">
        <w:rPr>
          <w:rFonts w:ascii="仿宋_GB2312" w:eastAsia="仿宋_GB2312" w:hint="eastAsia"/>
          <w:sz w:val="30"/>
          <w:szCs w:val="30"/>
        </w:rPr>
        <w:lastRenderedPageBreak/>
        <w:t>重考虑以下因素：</w:t>
      </w:r>
      <w:r w:rsidRPr="00093763">
        <w:rPr>
          <w:rFonts w:ascii="仿宋_GB2312" w:eastAsia="仿宋_GB2312"/>
          <w:sz w:val="30"/>
          <w:szCs w:val="30"/>
        </w:rPr>
        <w:t>1.2011</w:t>
      </w:r>
      <w:r w:rsidRPr="00093763">
        <w:rPr>
          <w:rFonts w:ascii="仿宋_GB2312" w:eastAsia="仿宋_GB2312" w:hint="eastAsia"/>
          <w:sz w:val="30"/>
          <w:szCs w:val="30"/>
        </w:rPr>
        <w:t>年是我国移动互联网迅速发展的一年。小米科技公司、小米通讯公司通过“硬件</w:t>
      </w:r>
      <w:r w:rsidRPr="00093763">
        <w:rPr>
          <w:rFonts w:ascii="仿宋_GB2312" w:eastAsia="仿宋_GB2312"/>
          <w:sz w:val="30"/>
          <w:szCs w:val="30"/>
        </w:rPr>
        <w:t>+</w:t>
      </w:r>
      <w:r w:rsidRPr="00093763">
        <w:rPr>
          <w:rFonts w:ascii="仿宋_GB2312" w:eastAsia="仿宋_GB2312" w:hint="eastAsia"/>
          <w:sz w:val="30"/>
          <w:szCs w:val="30"/>
        </w:rPr>
        <w:t>软件</w:t>
      </w:r>
      <w:r w:rsidRPr="00093763">
        <w:rPr>
          <w:rFonts w:ascii="仿宋_GB2312" w:eastAsia="仿宋_GB2312"/>
          <w:sz w:val="30"/>
          <w:szCs w:val="30"/>
        </w:rPr>
        <w:t>+</w:t>
      </w:r>
      <w:r w:rsidRPr="00093763">
        <w:rPr>
          <w:rFonts w:ascii="仿宋_GB2312" w:eastAsia="仿宋_GB2312" w:hint="eastAsia"/>
          <w:sz w:val="30"/>
          <w:szCs w:val="30"/>
        </w:rPr>
        <w:t>互联网”的商业模式，在较短的时间将小米手机打造成互联网品牌手机。在认定涉案“小米”商标驰名的时间节点、社会公众知晓程度时，需综合考虑商标法第十四条规定的各项因素，并结合移动互联网行业的特点，对涉案“小米”商标是否驰名进行客观、全面地认定，不应机械地适用《驰名商标认定和保护规定》中关于持续</w:t>
      </w:r>
      <w:r w:rsidRPr="00093763">
        <w:rPr>
          <w:rFonts w:ascii="仿宋_GB2312" w:eastAsia="仿宋_GB2312"/>
          <w:sz w:val="30"/>
          <w:szCs w:val="30"/>
        </w:rPr>
        <w:t>3</w:t>
      </w:r>
      <w:r w:rsidRPr="00093763">
        <w:rPr>
          <w:rFonts w:ascii="仿宋_GB2312" w:eastAsia="仿宋_GB2312" w:hint="eastAsia"/>
          <w:sz w:val="30"/>
          <w:szCs w:val="30"/>
        </w:rPr>
        <w:t>年或</w:t>
      </w:r>
      <w:r w:rsidRPr="00093763">
        <w:rPr>
          <w:rFonts w:ascii="仿宋_GB2312" w:eastAsia="仿宋_GB2312"/>
          <w:sz w:val="30"/>
          <w:szCs w:val="30"/>
        </w:rPr>
        <w:t>5</w:t>
      </w:r>
      <w:r w:rsidRPr="00093763">
        <w:rPr>
          <w:rFonts w:ascii="仿宋_GB2312" w:eastAsia="仿宋_GB2312" w:hint="eastAsia"/>
          <w:sz w:val="30"/>
          <w:szCs w:val="30"/>
        </w:rPr>
        <w:t>年时间等相关内容的规定。</w:t>
      </w:r>
      <w:r w:rsidRPr="00093763">
        <w:rPr>
          <w:rFonts w:ascii="仿宋_GB2312" w:eastAsia="仿宋_GB2312"/>
          <w:sz w:val="30"/>
          <w:szCs w:val="30"/>
        </w:rPr>
        <w:t>2.</w:t>
      </w:r>
      <w:r w:rsidRPr="00093763">
        <w:rPr>
          <w:rFonts w:ascii="仿宋_GB2312" w:eastAsia="仿宋_GB2312" w:hint="eastAsia"/>
          <w:sz w:val="30"/>
          <w:szCs w:val="30"/>
        </w:rPr>
        <w:t>中山奔腾公司申请注册“小米生活”商标的时间为</w:t>
      </w:r>
      <w:r w:rsidRPr="00093763">
        <w:rPr>
          <w:rFonts w:ascii="仿宋_GB2312" w:eastAsia="仿宋_GB2312"/>
          <w:sz w:val="30"/>
          <w:szCs w:val="30"/>
        </w:rPr>
        <w:t>2011</w:t>
      </w:r>
      <w:r w:rsidRPr="00093763">
        <w:rPr>
          <w:rFonts w:ascii="仿宋_GB2312" w:eastAsia="仿宋_GB2312" w:hint="eastAsia"/>
          <w:sz w:val="30"/>
          <w:szCs w:val="30"/>
        </w:rPr>
        <w:t>年</w:t>
      </w:r>
      <w:r w:rsidRPr="00093763">
        <w:rPr>
          <w:rFonts w:ascii="仿宋_GB2312" w:eastAsia="仿宋_GB2312"/>
          <w:sz w:val="30"/>
          <w:szCs w:val="30"/>
        </w:rPr>
        <w:t>11</w:t>
      </w:r>
      <w:r w:rsidRPr="00093763">
        <w:rPr>
          <w:rFonts w:ascii="仿宋_GB2312" w:eastAsia="仿宋_GB2312" w:hint="eastAsia"/>
          <w:sz w:val="30"/>
          <w:szCs w:val="30"/>
        </w:rPr>
        <w:t>月</w:t>
      </w:r>
      <w:r w:rsidRPr="00093763">
        <w:rPr>
          <w:rFonts w:ascii="仿宋_GB2312" w:eastAsia="仿宋_GB2312"/>
          <w:sz w:val="30"/>
          <w:szCs w:val="30"/>
        </w:rPr>
        <w:t>23</w:t>
      </w:r>
      <w:r w:rsidRPr="00093763">
        <w:rPr>
          <w:rFonts w:ascii="仿宋_GB2312" w:eastAsia="仿宋_GB2312" w:hint="eastAsia"/>
          <w:sz w:val="30"/>
          <w:szCs w:val="30"/>
        </w:rPr>
        <w:t>日，在认定该时间点“小米”商标知名度状态时，不应孤立、片面地认定，应综合分析前后相近一段时间内“小米”商标使用证据，对发生在该时间点之后，能够补强证明该时间点商标知名度状态的使用事实，酌情予以考虑。</w:t>
      </w:r>
      <w:r w:rsidRPr="00093763">
        <w:rPr>
          <w:rFonts w:ascii="仿宋_GB2312" w:eastAsia="仿宋_GB2312"/>
          <w:sz w:val="30"/>
          <w:szCs w:val="30"/>
        </w:rPr>
        <w:t>3.</w:t>
      </w:r>
      <w:r w:rsidRPr="00093763">
        <w:rPr>
          <w:rFonts w:ascii="仿宋_GB2312" w:eastAsia="仿宋_GB2312" w:hint="eastAsia"/>
          <w:sz w:val="30"/>
          <w:szCs w:val="30"/>
        </w:rPr>
        <w:t>企业名称和商标共同承载着企业的商誉。小米科技公司、小米通讯公司的企业字号与涉案注册商标“小米”文字重合，两者具有高度关联性，在认定“小米”商标知名度时，亦应适当考虑小米科技公司、小米通讯公司企业名称或企业字号的使用情况和知名度。根据商标法关于驰名商标遵循个案认定的基本原则，综合考虑本案事实和相关因素，可以认定涉案“小米”商标在</w:t>
      </w:r>
      <w:r w:rsidRPr="00093763">
        <w:rPr>
          <w:rFonts w:ascii="仿宋_GB2312" w:eastAsia="仿宋_GB2312"/>
          <w:sz w:val="30"/>
          <w:szCs w:val="30"/>
        </w:rPr>
        <w:t>2011</w:t>
      </w:r>
      <w:r w:rsidRPr="00093763">
        <w:rPr>
          <w:rFonts w:ascii="仿宋_GB2312" w:eastAsia="仿宋_GB2312" w:hint="eastAsia"/>
          <w:sz w:val="30"/>
          <w:szCs w:val="30"/>
        </w:rPr>
        <w:t>年</w:t>
      </w:r>
      <w:r w:rsidRPr="00093763">
        <w:rPr>
          <w:rFonts w:ascii="仿宋_GB2312" w:eastAsia="仿宋_GB2312"/>
          <w:sz w:val="30"/>
          <w:szCs w:val="30"/>
        </w:rPr>
        <w:t>11</w:t>
      </w:r>
      <w:r w:rsidRPr="00093763">
        <w:rPr>
          <w:rFonts w:ascii="仿宋_GB2312" w:eastAsia="仿宋_GB2312" w:hint="eastAsia"/>
          <w:sz w:val="30"/>
          <w:szCs w:val="30"/>
        </w:rPr>
        <w:t>月</w:t>
      </w:r>
      <w:r w:rsidRPr="00093763">
        <w:rPr>
          <w:rFonts w:ascii="仿宋_GB2312" w:eastAsia="仿宋_GB2312"/>
          <w:sz w:val="30"/>
          <w:szCs w:val="30"/>
        </w:rPr>
        <w:t>23</w:t>
      </w:r>
      <w:r w:rsidRPr="00093763">
        <w:rPr>
          <w:rFonts w:ascii="仿宋_GB2312" w:eastAsia="仿宋_GB2312" w:hint="eastAsia"/>
          <w:sz w:val="30"/>
          <w:szCs w:val="30"/>
        </w:rPr>
        <w:t>日“小米生活”商标申请注册时已为相关公众所熟知，一审判决认定“小米”商标构成驰名商标，并无不当。</w:t>
      </w:r>
    </w:p>
    <w:p w:rsidR="00D906DC" w:rsidRPr="00093763" w:rsidRDefault="00D906DC" w:rsidP="005F3E79">
      <w:pPr>
        <w:adjustRightInd w:val="0"/>
        <w:snapToGrid w:val="0"/>
        <w:spacing w:line="520" w:lineRule="exact"/>
        <w:ind w:firstLineChars="200" w:firstLine="600"/>
        <w:rPr>
          <w:rFonts w:ascii="仿宋_GB2312" w:eastAsia="仿宋_GB2312"/>
          <w:sz w:val="30"/>
          <w:szCs w:val="30"/>
        </w:rPr>
      </w:pPr>
      <w:r w:rsidRPr="00093763">
        <w:rPr>
          <w:rFonts w:ascii="仿宋_GB2312" w:eastAsia="仿宋_GB2312" w:hint="eastAsia"/>
          <w:sz w:val="30"/>
          <w:szCs w:val="30"/>
        </w:rPr>
        <w:t>二、中山奔腾公司、中山独领公司、</w:t>
      </w:r>
      <w:r>
        <w:rPr>
          <w:rFonts w:ascii="仿宋_GB2312" w:eastAsia="仿宋_GB2312" w:hint="eastAsia"/>
          <w:sz w:val="30"/>
          <w:szCs w:val="30"/>
        </w:rPr>
        <w:t>麦大亮</w:t>
      </w:r>
      <w:r w:rsidRPr="00093763">
        <w:rPr>
          <w:rFonts w:ascii="仿宋_GB2312" w:eastAsia="仿宋_GB2312" w:hint="eastAsia"/>
          <w:sz w:val="30"/>
          <w:szCs w:val="30"/>
        </w:rPr>
        <w:t>的涉案行为构成商标侵权。中山奔腾公司在不同类别商品上申请注册的“小米生活”商标系摹仿小米科技公司已经注册的涉案“小米”驰名商标。中山奔腾公司、中山独领公司在经营场所、网站、微信公众号、被控侵权商品等处，突出使用“小米生活”，不正当地利用“小米”驰名商标的市场声</w:t>
      </w:r>
      <w:r w:rsidRPr="00093763">
        <w:rPr>
          <w:rFonts w:ascii="仿宋_GB2312" w:eastAsia="仿宋_GB2312" w:hint="eastAsia"/>
          <w:sz w:val="30"/>
          <w:szCs w:val="30"/>
        </w:rPr>
        <w:lastRenderedPageBreak/>
        <w:t>誉，误导公众，损害了驰名商标注册人的利益，构成商标侵权。根据域名查询信息显示，涉案“小米生活电器</w:t>
      </w:r>
      <w:r w:rsidRPr="00093763">
        <w:rPr>
          <w:rFonts w:ascii="仿宋_GB2312" w:eastAsia="仿宋_GB2312"/>
          <w:sz w:val="30"/>
          <w:szCs w:val="30"/>
        </w:rPr>
        <w:t>.com</w:t>
      </w:r>
      <w:r w:rsidRPr="00093763">
        <w:rPr>
          <w:rFonts w:ascii="仿宋_GB2312" w:eastAsia="仿宋_GB2312" w:hint="eastAsia"/>
          <w:sz w:val="30"/>
          <w:szCs w:val="30"/>
        </w:rPr>
        <w:t>”“</w:t>
      </w:r>
      <w:r w:rsidRPr="00093763">
        <w:rPr>
          <w:rFonts w:ascii="仿宋_GB2312" w:eastAsia="仿宋_GB2312"/>
          <w:sz w:val="30"/>
          <w:szCs w:val="30"/>
        </w:rPr>
        <w:t xml:space="preserve">xiaomi68.com </w:t>
      </w:r>
      <w:r w:rsidRPr="00093763">
        <w:rPr>
          <w:rFonts w:ascii="仿宋_GB2312" w:eastAsia="仿宋_GB2312" w:hint="eastAsia"/>
          <w:sz w:val="30"/>
          <w:szCs w:val="30"/>
        </w:rPr>
        <w:t>”域名系中山奔腾公司注册，中山独领公司将该域名用于其电子商务网站经营。上述两个域名中的“小米生活电器”“</w:t>
      </w:r>
      <w:r w:rsidRPr="00093763">
        <w:rPr>
          <w:rFonts w:ascii="仿宋_GB2312" w:eastAsia="仿宋_GB2312"/>
          <w:sz w:val="30"/>
          <w:szCs w:val="30"/>
        </w:rPr>
        <w:t>xiaomi</w:t>
      </w:r>
      <w:r w:rsidRPr="00093763">
        <w:rPr>
          <w:rFonts w:ascii="仿宋_GB2312" w:eastAsia="仿宋_GB2312" w:hint="eastAsia"/>
          <w:sz w:val="30"/>
          <w:szCs w:val="30"/>
        </w:rPr>
        <w:t>”系对“小米”驰名商标的摹仿或音译，足以造成相关公众的误认，亦构成商标侵权。</w:t>
      </w:r>
      <w:r>
        <w:rPr>
          <w:rFonts w:ascii="仿宋_GB2312" w:eastAsia="仿宋_GB2312" w:hint="eastAsia"/>
          <w:sz w:val="30"/>
          <w:szCs w:val="30"/>
        </w:rPr>
        <w:t>麦大亮</w:t>
      </w:r>
      <w:r w:rsidRPr="00093763">
        <w:rPr>
          <w:rFonts w:ascii="仿宋_GB2312" w:eastAsia="仿宋_GB2312" w:hint="eastAsia"/>
          <w:sz w:val="30"/>
          <w:szCs w:val="30"/>
        </w:rPr>
        <w:t>通过其个人身份，为中山奔腾公司、中山独领公司实施一系列商标侵权行为提供相应的便利条件，一审判决认定其构成帮助侵权并无不当。</w:t>
      </w:r>
    </w:p>
    <w:p w:rsidR="00D906DC" w:rsidRPr="00093763" w:rsidRDefault="00D906DC" w:rsidP="005F3E79">
      <w:pPr>
        <w:adjustRightInd w:val="0"/>
        <w:snapToGrid w:val="0"/>
        <w:spacing w:line="520" w:lineRule="exact"/>
        <w:ind w:firstLineChars="200" w:firstLine="600"/>
        <w:rPr>
          <w:rFonts w:ascii="仿宋_GB2312" w:eastAsia="仿宋_GB2312"/>
          <w:sz w:val="30"/>
          <w:szCs w:val="30"/>
        </w:rPr>
      </w:pPr>
      <w:r w:rsidRPr="00093763">
        <w:rPr>
          <w:rFonts w:ascii="仿宋_GB2312" w:eastAsia="仿宋_GB2312" w:hint="eastAsia"/>
          <w:sz w:val="30"/>
          <w:szCs w:val="30"/>
        </w:rPr>
        <w:t>三、中山奔腾公司、中山独领公司涉案行为构成不正当竞争。中山奔腾公司、中山独领公司从商标、宣传用语、颜色搭配、粉丝昵称等方面进行全方位的效仿，刻意制造与小米科技公司、小米通讯公司及其商品之间的模糊连接，误导消费者，不正当地掠夺小米科技公司、小米通讯公司的商业信誉、商品声誉以及由此相伴的消费群体，提升自己的竞争优势，显然有违诚实信用原则，属于以引人误解的方式进行商业宣传，构成不正当竞争。</w:t>
      </w:r>
    </w:p>
    <w:p w:rsidR="00D906DC" w:rsidRPr="00093763" w:rsidRDefault="00D906DC" w:rsidP="005F3E79">
      <w:pPr>
        <w:adjustRightInd w:val="0"/>
        <w:snapToGrid w:val="0"/>
        <w:spacing w:line="520" w:lineRule="exact"/>
        <w:ind w:firstLineChars="200" w:firstLine="600"/>
        <w:rPr>
          <w:rFonts w:ascii="仿宋_GB2312" w:eastAsia="仿宋_GB2312"/>
          <w:sz w:val="30"/>
          <w:szCs w:val="30"/>
        </w:rPr>
      </w:pPr>
      <w:r w:rsidRPr="00093763">
        <w:rPr>
          <w:rFonts w:ascii="仿宋_GB2312" w:eastAsia="仿宋_GB2312" w:hint="eastAsia"/>
          <w:sz w:val="30"/>
          <w:szCs w:val="30"/>
        </w:rPr>
        <w:t>四、关于民事责任的承担。中山奔腾公司、中山独领公司共同实施商标侵权行为，并构成不正当竞争，依法应承担停止侵权、消除影响、赔偿损失的民事责任。</w:t>
      </w:r>
      <w:r>
        <w:rPr>
          <w:rFonts w:ascii="仿宋_GB2312" w:eastAsia="仿宋_GB2312" w:hint="eastAsia"/>
          <w:sz w:val="30"/>
          <w:szCs w:val="30"/>
        </w:rPr>
        <w:t>麦大亮</w:t>
      </w:r>
      <w:r w:rsidRPr="00093763">
        <w:rPr>
          <w:rFonts w:ascii="仿宋_GB2312" w:eastAsia="仿宋_GB2312" w:hint="eastAsia"/>
          <w:sz w:val="30"/>
          <w:szCs w:val="30"/>
        </w:rPr>
        <w:t>为两公司的侵权行为提供帮助，应与两公司承担连带赔偿责任。关于本案赔偿额的确定。一审中，小米科技公司、小米通讯公司主张以侵权获利额作为赔偿依据，并适用惩罚性赔偿，主张赔偿</w:t>
      </w:r>
      <w:r w:rsidRPr="00093763">
        <w:rPr>
          <w:rFonts w:ascii="仿宋_GB2312" w:eastAsia="仿宋_GB2312"/>
          <w:sz w:val="30"/>
          <w:szCs w:val="30"/>
        </w:rPr>
        <w:t>5000</w:t>
      </w:r>
      <w:r w:rsidRPr="00093763">
        <w:rPr>
          <w:rFonts w:ascii="仿宋_GB2312" w:eastAsia="仿宋_GB2312" w:hint="eastAsia"/>
          <w:sz w:val="30"/>
          <w:szCs w:val="30"/>
        </w:rPr>
        <w:t>万元。对此二审法院认为：</w:t>
      </w:r>
    </w:p>
    <w:p w:rsidR="00D906DC" w:rsidRPr="00093763" w:rsidRDefault="00D906DC" w:rsidP="005F3E79">
      <w:pPr>
        <w:adjustRightInd w:val="0"/>
        <w:snapToGrid w:val="0"/>
        <w:spacing w:line="520" w:lineRule="exact"/>
        <w:ind w:firstLineChars="200" w:firstLine="600"/>
        <w:rPr>
          <w:rFonts w:ascii="仿宋_GB2312" w:eastAsia="仿宋_GB2312"/>
          <w:sz w:val="30"/>
          <w:szCs w:val="30"/>
        </w:rPr>
      </w:pPr>
      <w:r w:rsidRPr="00093763">
        <w:rPr>
          <w:rFonts w:ascii="仿宋_GB2312" w:eastAsia="仿宋_GB2312" w:hint="eastAsia"/>
          <w:sz w:val="30"/>
          <w:szCs w:val="30"/>
        </w:rPr>
        <w:t>首先，网店商品的评论数可以作为认定商品交易量的参考依据。按照涉案京东网、淘宝网等电商平台的一般评价规则，用户完成一次订单交易后在一定的期限内可以对商品作出一次评价，即评价数与交</w:t>
      </w:r>
      <w:r w:rsidRPr="00093763">
        <w:rPr>
          <w:rFonts w:ascii="仿宋_GB2312" w:eastAsia="仿宋_GB2312" w:hint="eastAsia"/>
          <w:sz w:val="30"/>
          <w:szCs w:val="30"/>
        </w:rPr>
        <w:lastRenderedPageBreak/>
        <w:t>易次数具有高度对应关系。同时，与一审法院调取中山奔腾公司、中山独领公司网上直营店的实际销售额数据相比，虽然两者存在</w:t>
      </w:r>
      <w:r w:rsidRPr="00093763">
        <w:rPr>
          <w:rFonts w:ascii="仿宋_GB2312" w:eastAsia="仿宋_GB2312"/>
          <w:sz w:val="30"/>
          <w:szCs w:val="30"/>
        </w:rPr>
        <w:t>2</w:t>
      </w:r>
      <w:r w:rsidRPr="00093763">
        <w:rPr>
          <w:rFonts w:ascii="仿宋_GB2312" w:eastAsia="仿宋_GB2312" w:hint="eastAsia"/>
          <w:sz w:val="30"/>
          <w:szCs w:val="30"/>
        </w:rPr>
        <w:t>个多月时间差，但即便扣除两个月的平均销售额，按照评论数计算销售额亦低于同期实际的销售量及销售额，故以评论数作为销售量的参考依据具有合理性。</w:t>
      </w:r>
    </w:p>
    <w:p w:rsidR="00D906DC" w:rsidRPr="00093763" w:rsidRDefault="00D906DC" w:rsidP="005F3E79">
      <w:pPr>
        <w:adjustRightInd w:val="0"/>
        <w:snapToGrid w:val="0"/>
        <w:spacing w:line="520" w:lineRule="exact"/>
        <w:ind w:firstLineChars="200" w:firstLine="600"/>
        <w:rPr>
          <w:rFonts w:ascii="仿宋_GB2312" w:eastAsia="仿宋_GB2312"/>
          <w:sz w:val="30"/>
          <w:szCs w:val="30"/>
        </w:rPr>
      </w:pPr>
      <w:r w:rsidRPr="00093763">
        <w:rPr>
          <w:rFonts w:ascii="仿宋_GB2312" w:eastAsia="仿宋_GB2312" w:hint="eastAsia"/>
          <w:sz w:val="30"/>
          <w:szCs w:val="30"/>
        </w:rPr>
        <w:t>其次，涉案</w:t>
      </w:r>
      <w:r w:rsidRPr="00093763">
        <w:rPr>
          <w:rFonts w:ascii="仿宋_GB2312" w:eastAsia="仿宋_GB2312"/>
          <w:sz w:val="30"/>
          <w:szCs w:val="30"/>
        </w:rPr>
        <w:t>23</w:t>
      </w:r>
      <w:r w:rsidRPr="00093763">
        <w:rPr>
          <w:rFonts w:ascii="仿宋_GB2312" w:eastAsia="仿宋_GB2312" w:hint="eastAsia"/>
          <w:sz w:val="30"/>
          <w:szCs w:val="30"/>
        </w:rPr>
        <w:t>家店铺的销售额可以纳入本案侵权获利额的计算范围。但是，不能直接以经销商的全部销售额作为本案侵权获利额，应将中山奔腾公司、中山独领公司自营店与经销商的销售额分别计算。从部分经销商从中山奔腾公司进货的销售发票记载的商品单价看，与中山奔腾公司、中山独领公司直营店价格相比，大致在</w:t>
      </w:r>
      <w:r w:rsidRPr="00093763">
        <w:rPr>
          <w:rFonts w:ascii="仿宋_GB2312" w:eastAsia="仿宋_GB2312"/>
          <w:sz w:val="30"/>
          <w:szCs w:val="30"/>
        </w:rPr>
        <w:t>6-7</w:t>
      </w:r>
      <w:r w:rsidRPr="00093763">
        <w:rPr>
          <w:rFonts w:ascii="仿宋_GB2312" w:eastAsia="仿宋_GB2312" w:hint="eastAsia"/>
          <w:sz w:val="30"/>
          <w:szCs w:val="30"/>
        </w:rPr>
        <w:t>折范围，结合其在官网中关于“网店未做活动情况下</w:t>
      </w:r>
      <w:r w:rsidRPr="00093763">
        <w:rPr>
          <w:rFonts w:ascii="仿宋_GB2312" w:eastAsia="仿宋_GB2312"/>
          <w:sz w:val="30"/>
          <w:szCs w:val="30"/>
        </w:rPr>
        <w:t>,</w:t>
      </w:r>
      <w:r w:rsidRPr="00093763">
        <w:rPr>
          <w:rFonts w:ascii="仿宋_GB2312" w:eastAsia="仿宋_GB2312" w:hint="eastAsia"/>
          <w:sz w:val="30"/>
          <w:szCs w:val="30"/>
        </w:rPr>
        <w:t>按网络零售价</w:t>
      </w:r>
      <w:r w:rsidRPr="00093763">
        <w:rPr>
          <w:rFonts w:ascii="仿宋_GB2312" w:eastAsia="仿宋_GB2312"/>
          <w:sz w:val="30"/>
          <w:szCs w:val="30"/>
        </w:rPr>
        <w:t>(</w:t>
      </w:r>
      <w:r w:rsidRPr="00093763">
        <w:rPr>
          <w:rFonts w:ascii="仿宋_GB2312" w:eastAsia="仿宋_GB2312" w:hint="eastAsia"/>
          <w:sz w:val="30"/>
          <w:szCs w:val="30"/>
        </w:rPr>
        <w:t>价格以公司下设的淘宝网店为准</w:t>
      </w:r>
      <w:r w:rsidRPr="00093763">
        <w:rPr>
          <w:rFonts w:ascii="仿宋_GB2312" w:eastAsia="仿宋_GB2312"/>
          <w:sz w:val="30"/>
          <w:szCs w:val="30"/>
        </w:rPr>
        <w:t>)</w:t>
      </w:r>
      <w:r w:rsidRPr="00093763">
        <w:rPr>
          <w:rFonts w:ascii="仿宋_GB2312" w:eastAsia="仿宋_GB2312" w:hint="eastAsia"/>
          <w:sz w:val="30"/>
          <w:szCs w:val="30"/>
        </w:rPr>
        <w:t>的</w:t>
      </w:r>
      <w:r w:rsidRPr="00093763">
        <w:rPr>
          <w:rFonts w:ascii="仿宋_GB2312" w:eastAsia="仿宋_GB2312"/>
          <w:sz w:val="30"/>
          <w:szCs w:val="30"/>
        </w:rPr>
        <w:t>6.5</w:t>
      </w:r>
      <w:r w:rsidRPr="00093763">
        <w:rPr>
          <w:rFonts w:ascii="仿宋_GB2312" w:eastAsia="仿宋_GB2312" w:hint="eastAsia"/>
          <w:sz w:val="30"/>
          <w:szCs w:val="30"/>
        </w:rPr>
        <w:t>折供货”的内容，酌情按照经销商销售额的</w:t>
      </w:r>
      <w:r w:rsidRPr="00093763">
        <w:rPr>
          <w:rFonts w:ascii="仿宋_GB2312" w:eastAsia="仿宋_GB2312"/>
          <w:sz w:val="30"/>
          <w:szCs w:val="30"/>
        </w:rPr>
        <w:t>6</w:t>
      </w:r>
      <w:r w:rsidRPr="00093763">
        <w:rPr>
          <w:rFonts w:ascii="仿宋_GB2312" w:eastAsia="仿宋_GB2312" w:hint="eastAsia"/>
          <w:sz w:val="30"/>
          <w:szCs w:val="30"/>
        </w:rPr>
        <w:t>折计算本案侵权获利额。基于上述分析，法院确定涉案</w:t>
      </w:r>
      <w:r w:rsidRPr="00093763">
        <w:rPr>
          <w:rFonts w:ascii="仿宋_GB2312" w:eastAsia="仿宋_GB2312"/>
          <w:sz w:val="30"/>
          <w:szCs w:val="30"/>
        </w:rPr>
        <w:t>23</w:t>
      </w:r>
      <w:r w:rsidRPr="00093763">
        <w:rPr>
          <w:rFonts w:ascii="仿宋_GB2312" w:eastAsia="仿宋_GB2312" w:hint="eastAsia"/>
          <w:sz w:val="30"/>
          <w:szCs w:val="30"/>
        </w:rPr>
        <w:t>家网店的销售额总计为</w:t>
      </w:r>
      <w:r w:rsidRPr="00093763">
        <w:rPr>
          <w:rFonts w:ascii="仿宋_GB2312" w:eastAsia="仿宋_GB2312"/>
          <w:sz w:val="30"/>
          <w:szCs w:val="30"/>
        </w:rPr>
        <w:t>61158213.3</w:t>
      </w:r>
      <w:r w:rsidRPr="00093763">
        <w:rPr>
          <w:rFonts w:ascii="仿宋_GB2312" w:eastAsia="仿宋_GB2312" w:hint="eastAsia"/>
          <w:sz w:val="30"/>
          <w:szCs w:val="30"/>
        </w:rPr>
        <w:t>元。关于利润率，一审判决参考</w:t>
      </w:r>
      <w:r w:rsidRPr="00D340C0">
        <w:rPr>
          <w:rFonts w:ascii="仿宋_GB2312" w:eastAsia="仿宋_GB2312" w:hint="eastAsia"/>
          <w:sz w:val="30"/>
          <w:szCs w:val="30"/>
        </w:rPr>
        <w:t>珠海格力电器股份有限公司</w:t>
      </w:r>
      <w:r w:rsidRPr="00093763">
        <w:rPr>
          <w:rFonts w:ascii="仿宋_GB2312" w:eastAsia="仿宋_GB2312" w:hint="eastAsia"/>
          <w:sz w:val="30"/>
          <w:szCs w:val="30"/>
        </w:rPr>
        <w:t>、</w:t>
      </w:r>
      <w:r w:rsidRPr="00D340C0">
        <w:rPr>
          <w:rFonts w:ascii="仿宋_GB2312" w:eastAsia="仿宋_GB2312" w:hint="eastAsia"/>
          <w:sz w:val="30"/>
          <w:szCs w:val="30"/>
        </w:rPr>
        <w:t>美的集团股份有限公司</w:t>
      </w:r>
      <w:r w:rsidRPr="00093763">
        <w:rPr>
          <w:rFonts w:ascii="仿宋_GB2312" w:eastAsia="仿宋_GB2312" w:hint="eastAsia"/>
          <w:sz w:val="30"/>
          <w:szCs w:val="30"/>
        </w:rPr>
        <w:t>年度报告显示的小家电行业毛利率，以中间数</w:t>
      </w:r>
      <w:r w:rsidRPr="00093763">
        <w:rPr>
          <w:rFonts w:ascii="仿宋_GB2312" w:eastAsia="仿宋_GB2312"/>
          <w:sz w:val="30"/>
          <w:szCs w:val="30"/>
        </w:rPr>
        <w:t>33.35%</w:t>
      </w:r>
      <w:r w:rsidRPr="00093763">
        <w:rPr>
          <w:rFonts w:ascii="仿宋_GB2312" w:eastAsia="仿宋_GB2312" w:hint="eastAsia"/>
          <w:sz w:val="30"/>
          <w:szCs w:val="30"/>
        </w:rPr>
        <w:t>作为本案被控侵权商品利润率并无不当。</w:t>
      </w:r>
    </w:p>
    <w:p w:rsidR="00D906DC" w:rsidRPr="00093763" w:rsidRDefault="00D906DC" w:rsidP="005F3E79">
      <w:pPr>
        <w:adjustRightInd w:val="0"/>
        <w:snapToGrid w:val="0"/>
        <w:spacing w:line="520" w:lineRule="exact"/>
        <w:ind w:firstLineChars="200" w:firstLine="600"/>
        <w:rPr>
          <w:rFonts w:ascii="仿宋_GB2312" w:eastAsia="仿宋_GB2312"/>
          <w:sz w:val="30"/>
          <w:szCs w:val="30"/>
        </w:rPr>
      </w:pPr>
      <w:r w:rsidRPr="00093763">
        <w:rPr>
          <w:rFonts w:ascii="仿宋_GB2312" w:eastAsia="仿宋_GB2312" w:hint="eastAsia"/>
          <w:sz w:val="30"/>
          <w:szCs w:val="30"/>
        </w:rPr>
        <w:t>最后，本案符合惩罚性赔偿适用条件。一审法院综合考虑三上诉人主观上具有侵权恶意、侵权情节恶劣、侵权后果严重等因素，适用惩罚性赔偿，具有事实和法律依据。同时，二审法院认为，在确定具体的惩罚倍数时还需考虑以下事实和相关因素：</w:t>
      </w:r>
      <w:r w:rsidRPr="00093763">
        <w:rPr>
          <w:rFonts w:ascii="仿宋_GB2312" w:eastAsia="仿宋_GB2312"/>
          <w:sz w:val="30"/>
          <w:szCs w:val="30"/>
        </w:rPr>
        <w:t>1.</w:t>
      </w:r>
      <w:r w:rsidRPr="00093763">
        <w:rPr>
          <w:rFonts w:ascii="仿宋_GB2312" w:eastAsia="仿宋_GB2312" w:hint="eastAsia"/>
          <w:sz w:val="30"/>
          <w:szCs w:val="30"/>
        </w:rPr>
        <w:t>直到二审期间，中山奔腾公司、中山独领公司仍在持续宣传、销售被控侵权商品，具有明显的侵权恶意。</w:t>
      </w:r>
      <w:r w:rsidRPr="00093763">
        <w:rPr>
          <w:rFonts w:ascii="仿宋_GB2312" w:eastAsia="仿宋_GB2312"/>
          <w:sz w:val="30"/>
          <w:szCs w:val="30"/>
        </w:rPr>
        <w:t>2.</w:t>
      </w:r>
      <w:r w:rsidRPr="00093763">
        <w:rPr>
          <w:rFonts w:ascii="仿宋_GB2312" w:eastAsia="仿宋_GB2312" w:hint="eastAsia"/>
          <w:sz w:val="30"/>
          <w:szCs w:val="30"/>
        </w:rPr>
        <w:t>小米科技公司、小米通讯公司在涉案大部分线上店铺中仅公证购买一款商品，以该款商品评论数计算销售额，并未将店铺中所有侵权商品销售额计算在内。而中山奔腾公司、中山独领公</w:t>
      </w:r>
      <w:r w:rsidRPr="00093763">
        <w:rPr>
          <w:rFonts w:ascii="仿宋_GB2312" w:eastAsia="仿宋_GB2312" w:hint="eastAsia"/>
          <w:sz w:val="30"/>
          <w:szCs w:val="30"/>
        </w:rPr>
        <w:lastRenderedPageBreak/>
        <w:t>司通过多家电商平台、众多店铺在线上销售，网页展示的侵权商品多种多样，数量多，侵权规模大，这一情节亦应作为确定惩罚数额的考量因素。</w:t>
      </w:r>
      <w:r w:rsidRPr="00093763">
        <w:rPr>
          <w:rFonts w:ascii="仿宋_GB2312" w:eastAsia="仿宋_GB2312"/>
          <w:sz w:val="30"/>
          <w:szCs w:val="30"/>
        </w:rPr>
        <w:t>3.</w:t>
      </w:r>
      <w:r w:rsidRPr="00093763">
        <w:rPr>
          <w:rFonts w:ascii="仿宋_GB2312" w:eastAsia="仿宋_GB2312" w:hint="eastAsia"/>
          <w:sz w:val="30"/>
          <w:szCs w:val="30"/>
        </w:rPr>
        <w:t>涉案“小米”商标为驰名商标，具有较高的知名度、美誉度和市场影响力。但被控侵权商品“小米生活”</w:t>
      </w:r>
      <w:r w:rsidRPr="00093763">
        <w:rPr>
          <w:rFonts w:ascii="仿宋_GB2312" w:eastAsia="仿宋_GB2312"/>
          <w:sz w:val="30"/>
          <w:szCs w:val="30"/>
        </w:rPr>
        <w:t>Mi001</w:t>
      </w:r>
      <w:r w:rsidRPr="00093763">
        <w:rPr>
          <w:rFonts w:ascii="仿宋_GB2312" w:eastAsia="仿宋_GB2312" w:hint="eastAsia"/>
          <w:sz w:val="30"/>
          <w:szCs w:val="30"/>
        </w:rPr>
        <w:t>电磁炉</w:t>
      </w:r>
      <w:r>
        <w:rPr>
          <w:rFonts w:ascii="仿宋_GB2312" w:eastAsia="仿宋_GB2312" w:hint="eastAsia"/>
          <w:sz w:val="30"/>
          <w:szCs w:val="30"/>
        </w:rPr>
        <w:t>、</w:t>
      </w:r>
      <w:r w:rsidRPr="00093763">
        <w:rPr>
          <w:rFonts w:ascii="仿宋_GB2312" w:eastAsia="仿宋_GB2312"/>
          <w:sz w:val="30"/>
          <w:szCs w:val="30"/>
        </w:rPr>
        <w:t>MW-806</w:t>
      </w:r>
      <w:r w:rsidRPr="00093763">
        <w:rPr>
          <w:rFonts w:ascii="仿宋_GB2312" w:eastAsia="仿宋_GB2312" w:hint="eastAsia"/>
          <w:sz w:val="30"/>
          <w:szCs w:val="30"/>
        </w:rPr>
        <w:t>手持式挂烫机分别于</w:t>
      </w:r>
      <w:r w:rsidRPr="00093763">
        <w:rPr>
          <w:rFonts w:ascii="仿宋_GB2312" w:eastAsia="仿宋_GB2312"/>
          <w:sz w:val="30"/>
          <w:szCs w:val="30"/>
        </w:rPr>
        <w:t>2018</w:t>
      </w:r>
      <w:r w:rsidRPr="00093763">
        <w:rPr>
          <w:rFonts w:ascii="仿宋_GB2312" w:eastAsia="仿宋_GB2312" w:hint="eastAsia"/>
          <w:sz w:val="30"/>
          <w:szCs w:val="30"/>
        </w:rPr>
        <w:t>年、</w:t>
      </w:r>
      <w:r w:rsidRPr="00093763">
        <w:rPr>
          <w:rFonts w:ascii="仿宋_GB2312" w:eastAsia="仿宋_GB2312"/>
          <w:sz w:val="30"/>
          <w:szCs w:val="30"/>
        </w:rPr>
        <w:t>2019</w:t>
      </w:r>
      <w:r w:rsidRPr="00093763">
        <w:rPr>
          <w:rFonts w:ascii="仿宋_GB2312" w:eastAsia="仿宋_GB2312" w:hint="eastAsia"/>
          <w:sz w:val="30"/>
          <w:szCs w:val="30"/>
        </w:rPr>
        <w:t>年被上海市市场监督管理局认定为不合格产品。且从涉案店铺商品评价可知，部分用户亦反映被控侵权商品存在一定的质量问题。因此，中山奔腾公司、中山独领公司在被控侵权商品上使用“小米生活”商标，在一定程度上会降低消费者对于“小米”驰名商标的信任，导致该商标所承载的良好声誉受到损害，故对于涉案侵权行为应加大司法惩处力度。</w:t>
      </w:r>
    </w:p>
    <w:p w:rsidR="00D906DC" w:rsidRPr="00093763" w:rsidRDefault="00D906DC" w:rsidP="005F3E79">
      <w:pPr>
        <w:adjustRightInd w:val="0"/>
        <w:snapToGrid w:val="0"/>
        <w:spacing w:line="520" w:lineRule="exact"/>
        <w:ind w:firstLineChars="200" w:firstLine="600"/>
        <w:rPr>
          <w:rFonts w:ascii="仿宋_GB2312" w:eastAsia="仿宋_GB2312"/>
          <w:sz w:val="30"/>
          <w:szCs w:val="30"/>
        </w:rPr>
      </w:pPr>
      <w:r w:rsidRPr="00093763">
        <w:rPr>
          <w:rFonts w:ascii="仿宋_GB2312" w:eastAsia="仿宋_GB2312" w:hint="eastAsia"/>
          <w:sz w:val="30"/>
          <w:szCs w:val="30"/>
        </w:rPr>
        <w:t>基于上述分析，结合二审另查明的事实，二审法院确定以侵权获利额为赔偿基数，按照三倍酌定本案损害赔偿额，对一审判决确定二倍的惩罚倍数标准予以适当调整。根据前述计算方式，销售额为</w:t>
      </w:r>
      <w:r w:rsidRPr="00093763">
        <w:rPr>
          <w:rFonts w:ascii="仿宋_GB2312" w:eastAsia="仿宋_GB2312"/>
          <w:sz w:val="30"/>
          <w:szCs w:val="30"/>
        </w:rPr>
        <w:t>61158213.3</w:t>
      </w:r>
      <w:r w:rsidRPr="00093763">
        <w:rPr>
          <w:rFonts w:ascii="仿宋_GB2312" w:eastAsia="仿宋_GB2312" w:hint="eastAsia"/>
          <w:sz w:val="30"/>
          <w:szCs w:val="30"/>
        </w:rPr>
        <w:t>元，以</w:t>
      </w:r>
      <w:r w:rsidRPr="00093763">
        <w:rPr>
          <w:rFonts w:ascii="仿宋_GB2312" w:eastAsia="仿宋_GB2312"/>
          <w:sz w:val="30"/>
          <w:szCs w:val="30"/>
        </w:rPr>
        <w:t>33.35%</w:t>
      </w:r>
      <w:r w:rsidRPr="00093763">
        <w:rPr>
          <w:rFonts w:ascii="仿宋_GB2312" w:eastAsia="仿宋_GB2312" w:hint="eastAsia"/>
          <w:sz w:val="30"/>
          <w:szCs w:val="30"/>
        </w:rPr>
        <w:t>的利润率计算，侵权获利额为</w:t>
      </w:r>
      <w:r w:rsidRPr="00093763">
        <w:rPr>
          <w:rFonts w:ascii="仿宋_GB2312" w:eastAsia="仿宋_GB2312"/>
          <w:sz w:val="30"/>
          <w:szCs w:val="30"/>
        </w:rPr>
        <w:t>20396264.1</w:t>
      </w:r>
      <w:r w:rsidRPr="00093763">
        <w:rPr>
          <w:rFonts w:ascii="仿宋_GB2312" w:eastAsia="仿宋_GB2312" w:hint="eastAsia"/>
          <w:sz w:val="30"/>
          <w:szCs w:val="30"/>
        </w:rPr>
        <w:t>元，按照</w:t>
      </w:r>
      <w:r>
        <w:rPr>
          <w:rFonts w:ascii="仿宋_GB2312" w:eastAsia="仿宋_GB2312" w:hint="eastAsia"/>
          <w:sz w:val="30"/>
          <w:szCs w:val="30"/>
        </w:rPr>
        <w:t>三</w:t>
      </w:r>
      <w:r w:rsidRPr="00093763">
        <w:rPr>
          <w:rFonts w:ascii="仿宋_GB2312" w:eastAsia="仿宋_GB2312" w:hint="eastAsia"/>
          <w:sz w:val="30"/>
          <w:szCs w:val="30"/>
        </w:rPr>
        <w:t>倍计算为</w:t>
      </w:r>
      <w:r w:rsidRPr="00093763">
        <w:rPr>
          <w:rFonts w:ascii="仿宋_GB2312" w:eastAsia="仿宋_GB2312"/>
          <w:sz w:val="30"/>
          <w:szCs w:val="30"/>
        </w:rPr>
        <w:t>61188792.4</w:t>
      </w:r>
      <w:r w:rsidRPr="00093763">
        <w:rPr>
          <w:rFonts w:ascii="仿宋_GB2312" w:eastAsia="仿宋_GB2312" w:hint="eastAsia"/>
          <w:sz w:val="30"/>
          <w:szCs w:val="30"/>
        </w:rPr>
        <w:t>元，故一审判决对小米科技公司、小米通讯公司主张赔偿</w:t>
      </w:r>
      <w:r w:rsidRPr="00093763">
        <w:rPr>
          <w:rFonts w:ascii="仿宋_GB2312" w:eastAsia="仿宋_GB2312"/>
          <w:sz w:val="30"/>
          <w:szCs w:val="30"/>
        </w:rPr>
        <w:t>5000</w:t>
      </w:r>
      <w:r w:rsidRPr="00093763">
        <w:rPr>
          <w:rFonts w:ascii="仿宋_GB2312" w:eastAsia="仿宋_GB2312" w:hint="eastAsia"/>
          <w:sz w:val="30"/>
          <w:szCs w:val="30"/>
        </w:rPr>
        <w:t>万元的诉讼请求予以全额支持，并无不当。关于合理开支，小米科技公司、小米通讯公司主张其为制止侵权行为支出了律师费、公证费等费用共计</w:t>
      </w:r>
      <w:r w:rsidRPr="00093763">
        <w:rPr>
          <w:rFonts w:ascii="仿宋_GB2312" w:eastAsia="仿宋_GB2312"/>
          <w:sz w:val="30"/>
          <w:szCs w:val="30"/>
        </w:rPr>
        <w:t>414198</w:t>
      </w:r>
      <w:r w:rsidRPr="00093763">
        <w:rPr>
          <w:rFonts w:ascii="仿宋_GB2312" w:eastAsia="仿宋_GB2312" w:hint="eastAsia"/>
          <w:sz w:val="30"/>
          <w:szCs w:val="30"/>
        </w:rPr>
        <w:t>元，有相应票据、公证书等相关证据予以印证，且数额合理，故一审判决一并予以支持，亦无不当。</w:t>
      </w:r>
    </w:p>
    <w:p w:rsidR="00D906DC" w:rsidRPr="00093763" w:rsidRDefault="00D906DC" w:rsidP="005F3E79">
      <w:pPr>
        <w:adjustRightInd w:val="0"/>
        <w:snapToGrid w:val="0"/>
        <w:spacing w:line="520" w:lineRule="exact"/>
        <w:ind w:firstLineChars="200" w:firstLine="600"/>
        <w:rPr>
          <w:rFonts w:ascii="仿宋_GB2312" w:eastAsia="仿宋_GB2312"/>
          <w:sz w:val="30"/>
          <w:szCs w:val="30"/>
        </w:rPr>
      </w:pPr>
      <w:r w:rsidRPr="00093763">
        <w:rPr>
          <w:rFonts w:ascii="仿宋_GB2312" w:eastAsia="仿宋_GB2312" w:hint="eastAsia"/>
          <w:sz w:val="30"/>
          <w:szCs w:val="30"/>
        </w:rPr>
        <w:t>江苏高院二审判决：驳回上诉，维持原判。</w:t>
      </w:r>
    </w:p>
    <w:p w:rsidR="00D906DC" w:rsidRPr="00DC71A6" w:rsidRDefault="00D906DC" w:rsidP="005F3E79">
      <w:pPr>
        <w:adjustRightInd w:val="0"/>
        <w:snapToGrid w:val="0"/>
        <w:spacing w:line="520" w:lineRule="exact"/>
        <w:ind w:firstLineChars="200" w:firstLine="602"/>
        <w:rPr>
          <w:rFonts w:ascii="仿宋_GB2312" w:eastAsia="仿宋_GB2312"/>
          <w:b/>
          <w:bCs/>
          <w:sz w:val="30"/>
          <w:szCs w:val="30"/>
        </w:rPr>
      </w:pPr>
      <w:r w:rsidRPr="00DC71A6">
        <w:rPr>
          <w:rFonts w:ascii="仿宋_GB2312" w:eastAsia="仿宋_GB2312" w:hint="eastAsia"/>
          <w:b/>
          <w:bCs/>
          <w:sz w:val="30"/>
          <w:szCs w:val="30"/>
        </w:rPr>
        <w:t>【典型意义】</w:t>
      </w:r>
    </w:p>
    <w:p w:rsidR="00D906DC" w:rsidRPr="00093763" w:rsidRDefault="00D906DC" w:rsidP="005F3E79">
      <w:pPr>
        <w:adjustRightInd w:val="0"/>
        <w:snapToGrid w:val="0"/>
        <w:spacing w:line="520" w:lineRule="exact"/>
        <w:ind w:firstLineChars="200" w:firstLine="600"/>
        <w:rPr>
          <w:rFonts w:ascii="仿宋_GB2312" w:eastAsia="仿宋_GB2312"/>
          <w:sz w:val="30"/>
          <w:szCs w:val="30"/>
        </w:rPr>
      </w:pPr>
      <w:r w:rsidRPr="00093763">
        <w:rPr>
          <w:rFonts w:ascii="仿宋_GB2312" w:eastAsia="仿宋_GB2312" w:hint="eastAsia"/>
          <w:sz w:val="30"/>
          <w:szCs w:val="30"/>
        </w:rPr>
        <w:t>本案是商标法修订后第一例明确适用惩罚性赔偿制度确定赔偿额的案例，也是适用惩罚性</w:t>
      </w:r>
      <w:r>
        <w:rPr>
          <w:rFonts w:ascii="仿宋_GB2312" w:eastAsia="仿宋_GB2312" w:hint="eastAsia"/>
          <w:sz w:val="30"/>
          <w:szCs w:val="30"/>
        </w:rPr>
        <w:t>赔偿</w:t>
      </w:r>
      <w:r w:rsidRPr="00093763">
        <w:rPr>
          <w:rFonts w:ascii="仿宋_GB2312" w:eastAsia="仿宋_GB2312" w:hint="eastAsia"/>
          <w:sz w:val="30"/>
          <w:szCs w:val="30"/>
        </w:rPr>
        <w:t>制度确定的赔偿额最高的一起商标侵权</w:t>
      </w:r>
      <w:r w:rsidRPr="00093763">
        <w:rPr>
          <w:rFonts w:ascii="仿宋_GB2312" w:eastAsia="仿宋_GB2312" w:hint="eastAsia"/>
          <w:sz w:val="30"/>
          <w:szCs w:val="30"/>
        </w:rPr>
        <w:lastRenderedPageBreak/>
        <w:t>案件，被评为</w:t>
      </w:r>
      <w:r w:rsidRPr="00093763">
        <w:rPr>
          <w:rFonts w:ascii="仿宋_GB2312" w:eastAsia="仿宋_GB2312"/>
          <w:sz w:val="30"/>
          <w:szCs w:val="30"/>
        </w:rPr>
        <w:t>2019</w:t>
      </w:r>
      <w:r w:rsidRPr="00093763">
        <w:rPr>
          <w:rFonts w:ascii="仿宋_GB2312" w:eastAsia="仿宋_GB2312" w:hint="eastAsia"/>
          <w:sz w:val="30"/>
          <w:szCs w:val="30"/>
        </w:rPr>
        <w:t>江苏法院十大典型案例。其典型性表现在：</w:t>
      </w:r>
    </w:p>
    <w:p w:rsidR="00D906DC" w:rsidRPr="00093763" w:rsidRDefault="00D906DC" w:rsidP="005F3E79">
      <w:pPr>
        <w:adjustRightInd w:val="0"/>
        <w:snapToGrid w:val="0"/>
        <w:spacing w:line="520" w:lineRule="exact"/>
        <w:ind w:firstLineChars="200" w:firstLine="600"/>
        <w:rPr>
          <w:rFonts w:ascii="仿宋_GB2312" w:eastAsia="仿宋_GB2312"/>
          <w:sz w:val="30"/>
          <w:szCs w:val="30"/>
        </w:rPr>
      </w:pPr>
      <w:r w:rsidRPr="00093763">
        <w:rPr>
          <w:rFonts w:ascii="仿宋_GB2312" w:eastAsia="仿宋_GB2312"/>
          <w:sz w:val="30"/>
          <w:szCs w:val="30"/>
        </w:rPr>
        <w:t>1.</w:t>
      </w:r>
      <w:r w:rsidRPr="00093763">
        <w:rPr>
          <w:rFonts w:ascii="仿宋_GB2312" w:eastAsia="仿宋_GB2312" w:hint="eastAsia"/>
          <w:sz w:val="30"/>
          <w:szCs w:val="30"/>
        </w:rPr>
        <w:t>全面分析、阐述了适用惩罚性赔偿制度的考量因素和计算方法，为惩罚性赔偿制度的适用提供了实践样本。本案针对侵权人在多领域刻意模仿“小米”驰名商标，侵权恶意明显、侵权情节恶劣、侵权数额巨大、侵权后果严重的侵权行为，依法适用惩罚性赔偿</w:t>
      </w:r>
      <w:r>
        <w:rPr>
          <w:rFonts w:ascii="仿宋_GB2312" w:eastAsia="仿宋_GB2312" w:hint="eastAsia"/>
          <w:sz w:val="30"/>
          <w:szCs w:val="30"/>
        </w:rPr>
        <w:t>方式</w:t>
      </w:r>
      <w:r w:rsidRPr="00093763">
        <w:rPr>
          <w:rFonts w:ascii="仿宋_GB2312" w:eastAsia="仿宋_GB2312" w:hint="eastAsia"/>
          <w:sz w:val="30"/>
          <w:szCs w:val="30"/>
        </w:rPr>
        <w:t>，在计算被告获利额的基础上，确定了与侵权主观恶意</w:t>
      </w:r>
      <w:r>
        <w:rPr>
          <w:rFonts w:ascii="仿宋_GB2312" w:eastAsia="仿宋_GB2312" w:hint="eastAsia"/>
          <w:sz w:val="30"/>
          <w:szCs w:val="30"/>
        </w:rPr>
        <w:t>程度</w:t>
      </w:r>
      <w:r w:rsidRPr="00093763">
        <w:rPr>
          <w:rFonts w:ascii="仿宋_GB2312" w:eastAsia="仿宋_GB2312" w:hint="eastAsia"/>
          <w:sz w:val="30"/>
          <w:szCs w:val="30"/>
        </w:rPr>
        <w:t>、情节恶劣</w:t>
      </w:r>
      <w:r>
        <w:rPr>
          <w:rFonts w:ascii="仿宋_GB2312" w:eastAsia="仿宋_GB2312" w:hint="eastAsia"/>
          <w:sz w:val="30"/>
          <w:szCs w:val="30"/>
        </w:rPr>
        <w:t>程度</w:t>
      </w:r>
      <w:r w:rsidRPr="00093763">
        <w:rPr>
          <w:rFonts w:ascii="仿宋_GB2312" w:eastAsia="仿宋_GB2312" w:hint="eastAsia"/>
          <w:sz w:val="30"/>
          <w:szCs w:val="30"/>
        </w:rPr>
        <w:t>、侵权后果严重程度相适应的</w:t>
      </w:r>
      <w:r>
        <w:rPr>
          <w:rFonts w:ascii="仿宋_GB2312" w:eastAsia="仿宋_GB2312" w:hint="eastAsia"/>
          <w:sz w:val="30"/>
          <w:szCs w:val="30"/>
        </w:rPr>
        <w:t>三</w:t>
      </w:r>
      <w:r w:rsidRPr="00093763">
        <w:rPr>
          <w:rFonts w:ascii="仿宋_GB2312" w:eastAsia="仿宋_GB2312" w:hint="eastAsia"/>
          <w:sz w:val="30"/>
          <w:szCs w:val="30"/>
        </w:rPr>
        <w:t>倍惩罚幅度，最终全额支持了权利人</w:t>
      </w:r>
      <w:r w:rsidRPr="00093763">
        <w:rPr>
          <w:rFonts w:ascii="仿宋_GB2312" w:eastAsia="仿宋_GB2312"/>
          <w:sz w:val="30"/>
          <w:szCs w:val="30"/>
        </w:rPr>
        <w:t>5000</w:t>
      </w:r>
      <w:r w:rsidRPr="00093763">
        <w:rPr>
          <w:rFonts w:ascii="仿宋_GB2312" w:eastAsia="仿宋_GB2312" w:hint="eastAsia"/>
          <w:sz w:val="30"/>
          <w:szCs w:val="30"/>
        </w:rPr>
        <w:t>万元及</w:t>
      </w:r>
      <w:r w:rsidRPr="00093763">
        <w:rPr>
          <w:rFonts w:ascii="仿宋_GB2312" w:eastAsia="仿宋_GB2312"/>
          <w:sz w:val="30"/>
          <w:szCs w:val="30"/>
        </w:rPr>
        <w:t>40</w:t>
      </w:r>
      <w:r w:rsidRPr="00093763">
        <w:rPr>
          <w:rFonts w:ascii="仿宋_GB2312" w:eastAsia="仿宋_GB2312" w:hint="eastAsia"/>
          <w:sz w:val="30"/>
          <w:szCs w:val="30"/>
        </w:rPr>
        <w:t>余万元合理支出的赔偿诉求，体现了严厉打击严重恶意侵权行为，显著提高侵权成本，最严格保护知识产权的价值导向。判决在适用惩罚性赔偿过程中，既考虑到侵权人销售特点，又全面分析了影响惩罚倍数的相关因素，对于适用精细化裁判思维确定赔偿数额以及准确适用惩罚性赔偿方式具有借鉴意义。</w:t>
      </w:r>
    </w:p>
    <w:p w:rsidR="00D906DC" w:rsidRPr="00093763" w:rsidRDefault="00D906DC" w:rsidP="005F3E79">
      <w:pPr>
        <w:adjustRightInd w:val="0"/>
        <w:snapToGrid w:val="0"/>
        <w:spacing w:line="520" w:lineRule="exact"/>
        <w:ind w:firstLineChars="200" w:firstLine="600"/>
        <w:rPr>
          <w:rFonts w:ascii="仿宋_GB2312" w:eastAsia="仿宋_GB2312"/>
          <w:sz w:val="30"/>
          <w:szCs w:val="30"/>
        </w:rPr>
      </w:pPr>
      <w:r w:rsidRPr="00093763">
        <w:rPr>
          <w:rFonts w:ascii="仿宋_GB2312" w:eastAsia="仿宋_GB2312"/>
          <w:sz w:val="30"/>
          <w:szCs w:val="30"/>
        </w:rPr>
        <w:t>2.</w:t>
      </w:r>
      <w:r w:rsidRPr="00093763">
        <w:rPr>
          <w:rFonts w:ascii="仿宋_GB2312" w:eastAsia="仿宋_GB2312" w:hint="eastAsia"/>
          <w:sz w:val="30"/>
          <w:szCs w:val="30"/>
        </w:rPr>
        <w:t>结合案件特点创新性认定商标驰名，弥补了驰名商标认定法律规范的不足。本案，一、二审法院并未机械适用《驰名商标认定和保护规定》中关于持续</w:t>
      </w:r>
      <w:r w:rsidRPr="00093763">
        <w:rPr>
          <w:rFonts w:ascii="仿宋_GB2312" w:eastAsia="仿宋_GB2312"/>
          <w:sz w:val="30"/>
          <w:szCs w:val="30"/>
        </w:rPr>
        <w:t>3</w:t>
      </w:r>
      <w:r w:rsidRPr="00093763">
        <w:rPr>
          <w:rFonts w:ascii="仿宋_GB2312" w:eastAsia="仿宋_GB2312" w:hint="eastAsia"/>
          <w:sz w:val="30"/>
          <w:szCs w:val="30"/>
        </w:rPr>
        <w:t>年或</w:t>
      </w:r>
      <w:r w:rsidRPr="00093763">
        <w:rPr>
          <w:rFonts w:ascii="仿宋_GB2312" w:eastAsia="仿宋_GB2312"/>
          <w:sz w:val="30"/>
          <w:szCs w:val="30"/>
        </w:rPr>
        <w:t>5</w:t>
      </w:r>
      <w:r w:rsidRPr="00093763">
        <w:rPr>
          <w:rFonts w:ascii="仿宋_GB2312" w:eastAsia="仿宋_GB2312" w:hint="eastAsia"/>
          <w:sz w:val="30"/>
          <w:szCs w:val="30"/>
        </w:rPr>
        <w:t>年时间等具体时间节点的内容，也未孤立、片面地审查证明商标驰名事实的证据，而是充分考虑到小米公司具有极高知名度的字号对商标驰名的影响，手机商品营销特点，移动互联网时代品牌影响力尤其是涉案“小米”品牌影响力的传播速度，综合考量商标法规定的各项驰名因素，对“小米”商标的驰名度进行了全面</w:t>
      </w:r>
      <w:r>
        <w:rPr>
          <w:rFonts w:ascii="仿宋_GB2312" w:eastAsia="仿宋_GB2312" w:hint="eastAsia"/>
          <w:sz w:val="30"/>
          <w:szCs w:val="30"/>
        </w:rPr>
        <w:t>、</w:t>
      </w:r>
      <w:r w:rsidRPr="00093763">
        <w:rPr>
          <w:rFonts w:ascii="仿宋_GB2312" w:eastAsia="仿宋_GB2312" w:hint="eastAsia"/>
          <w:sz w:val="30"/>
          <w:szCs w:val="30"/>
        </w:rPr>
        <w:t>客观认定，为驰名商标司法认定提供了实践经验。</w:t>
      </w:r>
    </w:p>
    <w:p w:rsidR="00D906DC" w:rsidRPr="00093763" w:rsidRDefault="00D906DC" w:rsidP="005F3E79">
      <w:pPr>
        <w:adjustRightInd w:val="0"/>
        <w:snapToGrid w:val="0"/>
        <w:spacing w:line="520" w:lineRule="exact"/>
        <w:ind w:firstLineChars="200" w:firstLine="600"/>
        <w:rPr>
          <w:rFonts w:ascii="仿宋_GB2312" w:eastAsia="仿宋_GB2312"/>
          <w:sz w:val="30"/>
          <w:szCs w:val="30"/>
        </w:rPr>
      </w:pPr>
      <w:r w:rsidRPr="00093763">
        <w:rPr>
          <w:rFonts w:ascii="仿宋_GB2312" w:eastAsia="仿宋_GB2312"/>
          <w:sz w:val="30"/>
          <w:szCs w:val="30"/>
        </w:rPr>
        <w:t>3.</w:t>
      </w:r>
      <w:r w:rsidRPr="00093763">
        <w:rPr>
          <w:rFonts w:ascii="仿宋_GB2312" w:eastAsia="仿宋_GB2312" w:hint="eastAsia"/>
          <w:sz w:val="30"/>
          <w:szCs w:val="30"/>
        </w:rPr>
        <w:t>彰显了对民营企业知名品牌充分有效保护的鲜明态度。“小米”是中国市场上具有极高知名度和美誉度的驰名商标，家喻户晓。本案适用惩罚性赔偿方式最大限度地保障了民营企业创立的驰名商标，维护了其商业信誉、商品声誉，对于营造良好的营商环境具有积极效果。</w:t>
      </w:r>
    </w:p>
    <w:p w:rsidR="00D906DC" w:rsidRPr="001613C6" w:rsidRDefault="00D906DC" w:rsidP="00E711DA">
      <w:pPr>
        <w:pStyle w:val="1"/>
      </w:pPr>
      <w:r>
        <w:br w:type="page"/>
      </w:r>
      <w:bookmarkStart w:id="10" w:name="_Toc38029051"/>
      <w:r>
        <w:lastRenderedPageBreak/>
        <w:t>5.</w:t>
      </w:r>
      <w:r>
        <w:rPr>
          <w:rFonts w:hint="eastAsia"/>
        </w:rPr>
        <w:t>因</w:t>
      </w:r>
      <w:r w:rsidRPr="001613C6">
        <w:rPr>
          <w:rFonts w:hint="eastAsia"/>
        </w:rPr>
        <w:t>恶意申请注册使用商标</w:t>
      </w:r>
      <w:r>
        <w:rPr>
          <w:rFonts w:hint="eastAsia"/>
        </w:rPr>
        <w:t>适用</w:t>
      </w:r>
      <w:r w:rsidRPr="001613C6">
        <w:rPr>
          <w:rFonts w:hint="eastAsia"/>
        </w:rPr>
        <w:t>惩罚性赔偿</w:t>
      </w:r>
      <w:r>
        <w:rPr>
          <w:rFonts w:hint="eastAsia"/>
        </w:rPr>
        <w:t>案</w:t>
      </w:r>
      <w:bookmarkEnd w:id="10"/>
    </w:p>
    <w:p w:rsidR="00D906DC" w:rsidRPr="001613C6" w:rsidRDefault="00D906DC" w:rsidP="00E711DA">
      <w:pPr>
        <w:pStyle w:val="2"/>
      </w:pPr>
      <w:bookmarkStart w:id="11" w:name="_Toc38029052"/>
      <w:r w:rsidRPr="00753BB1">
        <w:rPr>
          <w:rFonts w:cs="仿宋_GB2312"/>
        </w:rPr>
        <w:t>——</w:t>
      </w:r>
      <w:r w:rsidRPr="001613C6">
        <w:rPr>
          <w:rFonts w:hint="eastAsia"/>
        </w:rPr>
        <w:t>株式会社普利司通诉梁山水浒轮胎公司等商标侵权纠纷案</w:t>
      </w:r>
      <w:bookmarkEnd w:id="11"/>
    </w:p>
    <w:p w:rsidR="00D906DC" w:rsidRPr="001613C6" w:rsidRDefault="00D906DC" w:rsidP="005F3E79">
      <w:pPr>
        <w:adjustRightInd w:val="0"/>
        <w:snapToGrid w:val="0"/>
        <w:spacing w:line="520" w:lineRule="exact"/>
        <w:ind w:firstLineChars="200" w:firstLine="600"/>
        <w:rPr>
          <w:rFonts w:ascii="仿宋_GB2312" w:eastAsia="仿宋_GB2312"/>
          <w:sz w:val="30"/>
          <w:szCs w:val="30"/>
        </w:rPr>
      </w:pPr>
    </w:p>
    <w:p w:rsidR="00D906DC" w:rsidRPr="001613C6" w:rsidRDefault="00D906DC" w:rsidP="005F3E79">
      <w:pPr>
        <w:adjustRightInd w:val="0"/>
        <w:snapToGrid w:val="0"/>
        <w:spacing w:line="520" w:lineRule="exact"/>
        <w:ind w:firstLineChars="200" w:firstLine="602"/>
        <w:rPr>
          <w:rFonts w:ascii="仿宋_GB2312" w:eastAsia="仿宋_GB2312"/>
          <w:b/>
          <w:bCs/>
          <w:sz w:val="30"/>
          <w:szCs w:val="30"/>
        </w:rPr>
      </w:pPr>
      <w:r w:rsidRPr="001613C6">
        <w:rPr>
          <w:rFonts w:ascii="仿宋_GB2312" w:eastAsia="仿宋_GB2312" w:hint="eastAsia"/>
          <w:b/>
          <w:bCs/>
          <w:sz w:val="30"/>
          <w:szCs w:val="30"/>
        </w:rPr>
        <w:t>【案件信息】</w:t>
      </w:r>
    </w:p>
    <w:p w:rsidR="00D906DC" w:rsidRPr="001613C6" w:rsidRDefault="00D906DC" w:rsidP="005F3E79">
      <w:pPr>
        <w:adjustRightInd w:val="0"/>
        <w:snapToGrid w:val="0"/>
        <w:spacing w:line="520" w:lineRule="exact"/>
        <w:ind w:firstLineChars="200" w:firstLine="600"/>
        <w:rPr>
          <w:rFonts w:ascii="仿宋_GB2312" w:eastAsia="仿宋_GB2312"/>
          <w:sz w:val="30"/>
          <w:szCs w:val="30"/>
        </w:rPr>
      </w:pPr>
      <w:r w:rsidRPr="001613C6">
        <w:rPr>
          <w:rFonts w:ascii="仿宋_GB2312" w:eastAsia="仿宋_GB2312" w:hint="eastAsia"/>
          <w:sz w:val="30"/>
          <w:szCs w:val="30"/>
        </w:rPr>
        <w:t>案号：苏州中院（</w:t>
      </w:r>
      <w:r w:rsidRPr="001613C6">
        <w:rPr>
          <w:rFonts w:ascii="仿宋_GB2312" w:eastAsia="仿宋_GB2312"/>
          <w:sz w:val="30"/>
          <w:szCs w:val="30"/>
        </w:rPr>
        <w:t>2018</w:t>
      </w:r>
      <w:r w:rsidRPr="001613C6">
        <w:rPr>
          <w:rFonts w:ascii="仿宋_GB2312" w:eastAsia="仿宋_GB2312" w:hint="eastAsia"/>
          <w:sz w:val="30"/>
          <w:szCs w:val="30"/>
        </w:rPr>
        <w:t>）苏</w:t>
      </w:r>
      <w:r w:rsidRPr="001613C6">
        <w:rPr>
          <w:rFonts w:ascii="仿宋_GB2312" w:eastAsia="仿宋_GB2312"/>
          <w:sz w:val="30"/>
          <w:szCs w:val="30"/>
        </w:rPr>
        <w:t>05</w:t>
      </w:r>
      <w:r w:rsidRPr="001613C6">
        <w:rPr>
          <w:rFonts w:ascii="仿宋_GB2312" w:eastAsia="仿宋_GB2312" w:hint="eastAsia"/>
          <w:sz w:val="30"/>
          <w:szCs w:val="30"/>
        </w:rPr>
        <w:t>民初</w:t>
      </w:r>
      <w:r w:rsidRPr="001613C6">
        <w:rPr>
          <w:rFonts w:ascii="仿宋_GB2312" w:eastAsia="仿宋_GB2312"/>
          <w:sz w:val="30"/>
          <w:szCs w:val="30"/>
        </w:rPr>
        <w:t>572</w:t>
      </w:r>
      <w:r w:rsidRPr="001613C6">
        <w:rPr>
          <w:rFonts w:ascii="仿宋_GB2312" w:eastAsia="仿宋_GB2312" w:hint="eastAsia"/>
          <w:sz w:val="30"/>
          <w:szCs w:val="30"/>
        </w:rPr>
        <w:t>号</w:t>
      </w:r>
    </w:p>
    <w:p w:rsidR="00D906DC" w:rsidRPr="001613C6" w:rsidRDefault="00D906DC" w:rsidP="005F3E79">
      <w:pPr>
        <w:adjustRightInd w:val="0"/>
        <w:snapToGrid w:val="0"/>
        <w:spacing w:line="520" w:lineRule="exact"/>
        <w:ind w:firstLineChars="500" w:firstLine="1500"/>
        <w:rPr>
          <w:rFonts w:ascii="仿宋_GB2312" w:eastAsia="仿宋_GB2312"/>
          <w:sz w:val="30"/>
          <w:szCs w:val="30"/>
        </w:rPr>
      </w:pPr>
      <w:r w:rsidRPr="001613C6">
        <w:rPr>
          <w:rFonts w:ascii="仿宋_GB2312" w:eastAsia="仿宋_GB2312" w:hint="eastAsia"/>
          <w:sz w:val="30"/>
          <w:szCs w:val="30"/>
        </w:rPr>
        <w:t>江苏高院（</w:t>
      </w:r>
      <w:r w:rsidRPr="001613C6">
        <w:rPr>
          <w:rFonts w:ascii="仿宋_GB2312" w:eastAsia="仿宋_GB2312"/>
          <w:sz w:val="30"/>
          <w:szCs w:val="30"/>
        </w:rPr>
        <w:t>2019</w:t>
      </w:r>
      <w:r w:rsidRPr="001613C6">
        <w:rPr>
          <w:rFonts w:ascii="仿宋_GB2312" w:eastAsia="仿宋_GB2312" w:hint="eastAsia"/>
          <w:sz w:val="30"/>
          <w:szCs w:val="30"/>
        </w:rPr>
        <w:t>）苏民终</w:t>
      </w:r>
      <w:r w:rsidRPr="001613C6">
        <w:rPr>
          <w:rFonts w:ascii="仿宋_GB2312" w:eastAsia="仿宋_GB2312"/>
          <w:sz w:val="30"/>
          <w:szCs w:val="30"/>
        </w:rPr>
        <w:t>1402</w:t>
      </w:r>
      <w:r w:rsidRPr="001613C6">
        <w:rPr>
          <w:rFonts w:ascii="仿宋_GB2312" w:eastAsia="仿宋_GB2312" w:hint="eastAsia"/>
          <w:sz w:val="30"/>
          <w:szCs w:val="30"/>
        </w:rPr>
        <w:t>号</w:t>
      </w:r>
    </w:p>
    <w:p w:rsidR="00D906DC" w:rsidRPr="001613C6" w:rsidRDefault="00D906DC" w:rsidP="005F3E79">
      <w:pPr>
        <w:adjustRightInd w:val="0"/>
        <w:snapToGrid w:val="0"/>
        <w:spacing w:line="520" w:lineRule="exact"/>
        <w:ind w:firstLineChars="200" w:firstLine="600"/>
        <w:rPr>
          <w:rFonts w:ascii="仿宋_GB2312" w:eastAsia="仿宋_GB2312"/>
          <w:sz w:val="30"/>
          <w:szCs w:val="30"/>
        </w:rPr>
      </w:pPr>
      <w:r w:rsidRPr="001613C6">
        <w:rPr>
          <w:rFonts w:ascii="仿宋_GB2312" w:eastAsia="仿宋_GB2312" w:hint="eastAsia"/>
          <w:sz w:val="30"/>
          <w:szCs w:val="30"/>
        </w:rPr>
        <w:t>原告：株式会社普利司通</w:t>
      </w:r>
    </w:p>
    <w:p w:rsidR="00D906DC" w:rsidRPr="001613C6" w:rsidRDefault="00D906DC" w:rsidP="005F3E79">
      <w:pPr>
        <w:adjustRightInd w:val="0"/>
        <w:snapToGrid w:val="0"/>
        <w:spacing w:line="520" w:lineRule="exact"/>
        <w:ind w:firstLineChars="200" w:firstLine="600"/>
        <w:rPr>
          <w:rFonts w:ascii="仿宋_GB2312" w:eastAsia="仿宋_GB2312"/>
          <w:sz w:val="30"/>
          <w:szCs w:val="30"/>
        </w:rPr>
      </w:pPr>
      <w:r w:rsidRPr="001613C6">
        <w:rPr>
          <w:rFonts w:ascii="仿宋_GB2312" w:eastAsia="仿宋_GB2312" w:hint="eastAsia"/>
          <w:sz w:val="30"/>
          <w:szCs w:val="30"/>
        </w:rPr>
        <w:t>被告：梁山水浒轮胎有限公司、武进区湖塘丰民汽摩配件总汇</w:t>
      </w:r>
    </w:p>
    <w:p w:rsidR="00D906DC" w:rsidRPr="001613C6" w:rsidRDefault="00D906DC" w:rsidP="005F3E79">
      <w:pPr>
        <w:adjustRightInd w:val="0"/>
        <w:snapToGrid w:val="0"/>
        <w:spacing w:line="520" w:lineRule="exact"/>
        <w:ind w:firstLineChars="200" w:firstLine="602"/>
        <w:rPr>
          <w:rFonts w:ascii="仿宋_GB2312" w:eastAsia="仿宋_GB2312"/>
          <w:b/>
          <w:bCs/>
          <w:sz w:val="30"/>
          <w:szCs w:val="30"/>
        </w:rPr>
      </w:pPr>
      <w:r w:rsidRPr="001613C6">
        <w:rPr>
          <w:rFonts w:ascii="仿宋_GB2312" w:eastAsia="仿宋_GB2312" w:hint="eastAsia"/>
          <w:b/>
          <w:bCs/>
          <w:sz w:val="30"/>
          <w:szCs w:val="30"/>
        </w:rPr>
        <w:t>【裁判要旨】</w:t>
      </w:r>
    </w:p>
    <w:p w:rsidR="00D906DC" w:rsidRPr="001613C6" w:rsidRDefault="00D906DC" w:rsidP="005F3E79">
      <w:pPr>
        <w:adjustRightInd w:val="0"/>
        <w:snapToGrid w:val="0"/>
        <w:spacing w:line="520" w:lineRule="exact"/>
        <w:ind w:firstLineChars="200" w:firstLine="600"/>
        <w:rPr>
          <w:rFonts w:ascii="仿宋_GB2312" w:eastAsia="仿宋_GB2312"/>
          <w:sz w:val="30"/>
          <w:szCs w:val="30"/>
        </w:rPr>
      </w:pPr>
      <w:r w:rsidRPr="001613C6">
        <w:rPr>
          <w:rFonts w:ascii="仿宋_GB2312" w:eastAsia="仿宋_GB2312" w:hint="eastAsia"/>
          <w:sz w:val="30"/>
          <w:szCs w:val="30"/>
        </w:rPr>
        <w:t>行为人恶意注册与知名商标相近似的商标并使用的，其侵权行为应当自申请注册及实际使用侵权标识起算，而非侵权标识被确认无法获得注册时起算。</w:t>
      </w:r>
    </w:p>
    <w:p w:rsidR="00D906DC" w:rsidRPr="001613C6" w:rsidRDefault="00D906DC" w:rsidP="005F3E79">
      <w:pPr>
        <w:adjustRightInd w:val="0"/>
        <w:snapToGrid w:val="0"/>
        <w:spacing w:line="520" w:lineRule="exact"/>
        <w:ind w:firstLineChars="200" w:firstLine="600"/>
        <w:rPr>
          <w:rFonts w:ascii="仿宋_GB2312" w:eastAsia="仿宋_GB2312"/>
          <w:sz w:val="30"/>
          <w:szCs w:val="30"/>
        </w:rPr>
      </w:pPr>
      <w:r w:rsidRPr="001613C6">
        <w:rPr>
          <w:rFonts w:ascii="仿宋_GB2312" w:eastAsia="仿宋_GB2312" w:hint="eastAsia"/>
          <w:sz w:val="30"/>
          <w:szCs w:val="30"/>
        </w:rPr>
        <w:t>销售者将侵权产品与正品混杂销售，应当负有更高注意义务，通常应</w:t>
      </w:r>
      <w:r>
        <w:rPr>
          <w:rFonts w:ascii="仿宋_GB2312" w:eastAsia="仿宋_GB2312" w:hint="eastAsia"/>
          <w:sz w:val="30"/>
          <w:szCs w:val="30"/>
        </w:rPr>
        <w:t>当</w:t>
      </w:r>
      <w:r w:rsidRPr="001613C6">
        <w:rPr>
          <w:rFonts w:ascii="仿宋_GB2312" w:eastAsia="仿宋_GB2312" w:hint="eastAsia"/>
          <w:sz w:val="30"/>
          <w:szCs w:val="30"/>
        </w:rPr>
        <w:t>认定为明知侵权而销售。</w:t>
      </w:r>
    </w:p>
    <w:p w:rsidR="00D906DC" w:rsidRPr="001613C6" w:rsidRDefault="00D906DC" w:rsidP="005F3E79">
      <w:pPr>
        <w:adjustRightInd w:val="0"/>
        <w:snapToGrid w:val="0"/>
        <w:spacing w:line="520" w:lineRule="exact"/>
        <w:ind w:firstLineChars="200" w:firstLine="600"/>
        <w:rPr>
          <w:rFonts w:ascii="仿宋_GB2312" w:eastAsia="仿宋_GB2312"/>
          <w:sz w:val="30"/>
          <w:szCs w:val="30"/>
        </w:rPr>
      </w:pPr>
      <w:r w:rsidRPr="001613C6">
        <w:rPr>
          <w:rFonts w:ascii="仿宋_GB2312" w:eastAsia="仿宋_GB2312" w:hint="eastAsia"/>
          <w:sz w:val="30"/>
          <w:szCs w:val="30"/>
        </w:rPr>
        <w:t>在确定侵权赔偿数额时，侵权行为人对外宣传表明其经营规模大，且有一定基础事实予以印证的，应当责令其提供实际生产、销售侵权产品数量的相关证据，如其举证不能，可作出对权利人有利的推定。</w:t>
      </w:r>
    </w:p>
    <w:p w:rsidR="00D906DC" w:rsidRPr="001613C6" w:rsidRDefault="00D906DC" w:rsidP="005F3E79">
      <w:pPr>
        <w:adjustRightInd w:val="0"/>
        <w:snapToGrid w:val="0"/>
        <w:spacing w:line="520" w:lineRule="exact"/>
        <w:ind w:firstLineChars="200" w:firstLine="600"/>
        <w:rPr>
          <w:rFonts w:ascii="仿宋_GB2312" w:eastAsia="仿宋_GB2312"/>
          <w:sz w:val="30"/>
          <w:szCs w:val="30"/>
        </w:rPr>
      </w:pPr>
      <w:r w:rsidRPr="001613C6">
        <w:rPr>
          <w:rFonts w:ascii="仿宋_GB2312" w:eastAsia="仿宋_GB2312" w:hint="eastAsia"/>
          <w:sz w:val="30"/>
          <w:szCs w:val="30"/>
        </w:rPr>
        <w:t>在因恶意抢注商标引发的商标侵权案件中，权利人维权费用应当包括权利人在商标异议、无效等行政程序以及诉讼中花费的所有合理支出。</w:t>
      </w:r>
    </w:p>
    <w:p w:rsidR="00D906DC" w:rsidRPr="001613C6" w:rsidRDefault="00D906DC" w:rsidP="005F3E79">
      <w:pPr>
        <w:adjustRightInd w:val="0"/>
        <w:snapToGrid w:val="0"/>
        <w:spacing w:line="520" w:lineRule="exact"/>
        <w:ind w:firstLineChars="200" w:firstLine="602"/>
        <w:rPr>
          <w:rFonts w:ascii="仿宋_GB2312" w:eastAsia="仿宋_GB2312"/>
          <w:b/>
          <w:bCs/>
          <w:sz w:val="30"/>
          <w:szCs w:val="30"/>
        </w:rPr>
      </w:pPr>
      <w:r w:rsidRPr="001613C6">
        <w:rPr>
          <w:rFonts w:ascii="仿宋_GB2312" w:eastAsia="仿宋_GB2312" w:hint="eastAsia"/>
          <w:b/>
          <w:bCs/>
          <w:sz w:val="30"/>
          <w:szCs w:val="30"/>
        </w:rPr>
        <w:t>【基本案情】</w:t>
      </w:r>
    </w:p>
    <w:p w:rsidR="00D906DC" w:rsidRPr="001613C6" w:rsidRDefault="00D906DC" w:rsidP="005F3E79">
      <w:pPr>
        <w:adjustRightInd w:val="0"/>
        <w:snapToGrid w:val="0"/>
        <w:spacing w:line="520" w:lineRule="exact"/>
        <w:ind w:firstLineChars="200" w:firstLine="600"/>
        <w:rPr>
          <w:rFonts w:ascii="仿宋_GB2312" w:eastAsia="仿宋_GB2312"/>
          <w:sz w:val="30"/>
          <w:szCs w:val="30"/>
        </w:rPr>
      </w:pPr>
      <w:r w:rsidRPr="001613C6">
        <w:rPr>
          <w:rFonts w:ascii="仿宋_GB2312" w:eastAsia="仿宋_GB2312" w:hint="eastAsia"/>
          <w:sz w:val="30"/>
          <w:szCs w:val="30"/>
        </w:rPr>
        <w:t>株式会社普利司通（以下简称普利司通公司）系全球知名的汽车轮胎制造企业，其在中国</w:t>
      </w:r>
      <w:r w:rsidRPr="001613C6">
        <w:rPr>
          <w:rFonts w:ascii="仿宋_GB2312" w:eastAsia="仿宋_GB2312"/>
          <w:sz w:val="30"/>
          <w:szCs w:val="30"/>
        </w:rPr>
        <w:t>1986</w:t>
      </w:r>
      <w:r w:rsidRPr="001613C6">
        <w:rPr>
          <w:rFonts w:ascii="仿宋_GB2312" w:eastAsia="仿宋_GB2312" w:hint="eastAsia"/>
          <w:sz w:val="30"/>
          <w:szCs w:val="30"/>
        </w:rPr>
        <w:t>年</w:t>
      </w:r>
      <w:r w:rsidRPr="001613C6">
        <w:rPr>
          <w:rFonts w:ascii="仿宋_GB2312" w:eastAsia="仿宋_GB2312"/>
          <w:sz w:val="30"/>
          <w:szCs w:val="30"/>
        </w:rPr>
        <w:t>4</w:t>
      </w:r>
      <w:r w:rsidRPr="001613C6">
        <w:rPr>
          <w:rFonts w:ascii="仿宋_GB2312" w:eastAsia="仿宋_GB2312" w:hint="eastAsia"/>
          <w:sz w:val="30"/>
          <w:szCs w:val="30"/>
        </w:rPr>
        <w:t>月申请注册的第</w:t>
      </w:r>
      <w:r w:rsidRPr="001613C6">
        <w:rPr>
          <w:rFonts w:ascii="仿宋_GB2312" w:eastAsia="仿宋_GB2312"/>
          <w:sz w:val="30"/>
          <w:szCs w:val="30"/>
        </w:rPr>
        <w:t>382697</w:t>
      </w:r>
      <w:r w:rsidRPr="001613C6">
        <w:rPr>
          <w:rFonts w:ascii="仿宋_GB2312" w:eastAsia="仿宋_GB2312" w:hint="eastAsia"/>
          <w:sz w:val="30"/>
          <w:szCs w:val="30"/>
        </w:rPr>
        <w:t>号“</w:t>
      </w:r>
      <w:r w:rsidR="008E3AEC" w:rsidRPr="008906E9">
        <w:rPr>
          <w:rFonts w:ascii="仿宋_GB2312" w:eastAsia="仿宋_GB2312"/>
          <w:sz w:val="30"/>
          <w:szCs w:val="30"/>
        </w:rPr>
        <w:pict>
          <v:shape id="_x0000_i1035" type="#_x0000_t75" style="width:47.7pt;height:16.85pt">
            <v:imagedata r:id="rId23" o:title=""/>
          </v:shape>
        </w:pict>
      </w:r>
      <w:r w:rsidRPr="001613C6">
        <w:rPr>
          <w:rFonts w:ascii="仿宋_GB2312" w:eastAsia="仿宋_GB2312" w:hint="eastAsia"/>
          <w:sz w:val="30"/>
          <w:szCs w:val="30"/>
        </w:rPr>
        <w:t>”、</w:t>
      </w:r>
      <w:r w:rsidRPr="001613C6">
        <w:rPr>
          <w:rFonts w:ascii="仿宋_GB2312" w:eastAsia="仿宋_GB2312"/>
          <w:sz w:val="30"/>
          <w:szCs w:val="30"/>
        </w:rPr>
        <w:t>1998</w:t>
      </w:r>
      <w:r w:rsidRPr="001613C6">
        <w:rPr>
          <w:rFonts w:ascii="仿宋_GB2312" w:eastAsia="仿宋_GB2312" w:hint="eastAsia"/>
          <w:sz w:val="30"/>
          <w:szCs w:val="30"/>
        </w:rPr>
        <w:t>年</w:t>
      </w:r>
      <w:r w:rsidRPr="001613C6">
        <w:rPr>
          <w:rFonts w:ascii="仿宋_GB2312" w:eastAsia="仿宋_GB2312"/>
          <w:sz w:val="30"/>
          <w:szCs w:val="30"/>
        </w:rPr>
        <w:t>11</w:t>
      </w:r>
      <w:r w:rsidRPr="001613C6">
        <w:rPr>
          <w:rFonts w:ascii="仿宋_GB2312" w:eastAsia="仿宋_GB2312" w:hint="eastAsia"/>
          <w:sz w:val="30"/>
          <w:szCs w:val="30"/>
        </w:rPr>
        <w:t>月申请注册的第</w:t>
      </w:r>
      <w:r w:rsidRPr="001613C6">
        <w:rPr>
          <w:rFonts w:ascii="仿宋_GB2312" w:eastAsia="仿宋_GB2312"/>
          <w:sz w:val="30"/>
          <w:szCs w:val="30"/>
        </w:rPr>
        <w:t>1424390</w:t>
      </w:r>
      <w:r w:rsidRPr="001613C6">
        <w:rPr>
          <w:rFonts w:ascii="仿宋_GB2312" w:eastAsia="仿宋_GB2312" w:hint="eastAsia"/>
          <w:sz w:val="30"/>
          <w:szCs w:val="30"/>
        </w:rPr>
        <w:t>号“</w:t>
      </w:r>
      <w:r w:rsidR="008E3AEC" w:rsidRPr="008906E9">
        <w:rPr>
          <w:rFonts w:ascii="仿宋_GB2312" w:eastAsia="仿宋_GB2312"/>
          <w:sz w:val="30"/>
          <w:szCs w:val="30"/>
        </w:rPr>
        <w:pict>
          <v:shape id="_x0000_i1036" type="#_x0000_t75" style="width:47.7pt;height:16.85pt">
            <v:imagedata r:id="rId23" o:title=""/>
          </v:shape>
        </w:pict>
      </w:r>
      <w:r w:rsidRPr="001613C6">
        <w:rPr>
          <w:rFonts w:ascii="仿宋_GB2312" w:eastAsia="仿宋_GB2312" w:hint="eastAsia"/>
          <w:sz w:val="30"/>
          <w:szCs w:val="30"/>
        </w:rPr>
        <w:t>”商标具</w:t>
      </w:r>
      <w:r w:rsidRPr="001613C6">
        <w:rPr>
          <w:rFonts w:ascii="仿宋_GB2312" w:eastAsia="仿宋_GB2312" w:hint="eastAsia"/>
          <w:sz w:val="30"/>
          <w:szCs w:val="30"/>
        </w:rPr>
        <w:lastRenderedPageBreak/>
        <w:t>有极高知名度。梁山水浒轮胎有限公司（以下简称水浒公司）于</w:t>
      </w:r>
      <w:r w:rsidRPr="001613C6">
        <w:rPr>
          <w:rFonts w:ascii="仿宋_GB2312" w:eastAsia="仿宋_GB2312"/>
          <w:sz w:val="30"/>
          <w:szCs w:val="30"/>
        </w:rPr>
        <w:t>2004</w:t>
      </w:r>
      <w:r w:rsidRPr="001613C6">
        <w:rPr>
          <w:rFonts w:ascii="仿宋_GB2312" w:eastAsia="仿宋_GB2312" w:hint="eastAsia"/>
          <w:sz w:val="30"/>
          <w:szCs w:val="30"/>
        </w:rPr>
        <w:t>年申请了“</w:t>
      </w:r>
      <w:r w:rsidR="008E3AEC" w:rsidRPr="008906E9">
        <w:rPr>
          <w:rFonts w:ascii="仿宋_GB2312" w:eastAsia="仿宋_GB2312"/>
          <w:sz w:val="30"/>
          <w:szCs w:val="30"/>
        </w:rPr>
        <w:pict>
          <v:shape id="_x0000_i1037" type="#_x0000_t75" style="width:42.1pt;height:16.85pt">
            <v:imagedata r:id="rId24" o:title=""/>
          </v:shape>
        </w:pict>
      </w:r>
      <w:r w:rsidRPr="001613C6">
        <w:rPr>
          <w:rFonts w:ascii="仿宋_GB2312" w:eastAsia="仿宋_GB2312" w:hint="eastAsia"/>
          <w:sz w:val="30"/>
          <w:szCs w:val="30"/>
        </w:rPr>
        <w:t>”商标。该商标经过</w:t>
      </w:r>
      <w:r w:rsidRPr="00B73A96">
        <w:rPr>
          <w:rFonts w:ascii="仿宋_GB2312" w:eastAsia="仿宋_GB2312" w:hint="eastAsia"/>
          <w:sz w:val="30"/>
          <w:szCs w:val="30"/>
        </w:rPr>
        <w:t>国家工商行政管理总局商标局（以下简称国家商标局）</w:t>
      </w:r>
      <w:r w:rsidRPr="001613C6">
        <w:rPr>
          <w:rFonts w:ascii="仿宋_GB2312" w:eastAsia="仿宋_GB2312" w:hint="eastAsia"/>
          <w:sz w:val="30"/>
          <w:szCs w:val="30"/>
        </w:rPr>
        <w:t>、</w:t>
      </w:r>
      <w:r w:rsidRPr="00B73A96">
        <w:rPr>
          <w:rFonts w:ascii="仿宋_GB2312" w:eastAsia="仿宋_GB2312" w:hint="eastAsia"/>
          <w:sz w:val="30"/>
          <w:szCs w:val="30"/>
        </w:rPr>
        <w:t>国家工商行政管理总局商标评审委员会（以下简称国家商评委）</w:t>
      </w:r>
      <w:r w:rsidRPr="001613C6">
        <w:rPr>
          <w:rFonts w:ascii="仿宋_GB2312" w:eastAsia="仿宋_GB2312" w:hint="eastAsia"/>
          <w:sz w:val="30"/>
          <w:szCs w:val="30"/>
        </w:rPr>
        <w:t>的审查、复审以及北京法院两审行政诉讼后，于</w:t>
      </w:r>
      <w:r w:rsidRPr="001613C6">
        <w:rPr>
          <w:rFonts w:ascii="仿宋_GB2312" w:eastAsia="仿宋_GB2312"/>
          <w:sz w:val="30"/>
          <w:szCs w:val="30"/>
        </w:rPr>
        <w:t>2015</w:t>
      </w:r>
      <w:r w:rsidRPr="001613C6">
        <w:rPr>
          <w:rFonts w:ascii="仿宋_GB2312" w:eastAsia="仿宋_GB2312" w:hint="eastAsia"/>
          <w:sz w:val="30"/>
          <w:szCs w:val="30"/>
        </w:rPr>
        <w:t>年</w:t>
      </w:r>
      <w:r w:rsidRPr="001613C6">
        <w:rPr>
          <w:rFonts w:ascii="仿宋_GB2312" w:eastAsia="仿宋_GB2312"/>
          <w:sz w:val="30"/>
          <w:szCs w:val="30"/>
        </w:rPr>
        <w:t>12</w:t>
      </w:r>
      <w:r w:rsidRPr="001613C6">
        <w:rPr>
          <w:rFonts w:ascii="仿宋_GB2312" w:eastAsia="仿宋_GB2312" w:hint="eastAsia"/>
          <w:sz w:val="30"/>
          <w:szCs w:val="30"/>
        </w:rPr>
        <w:t>月</w:t>
      </w:r>
      <w:r w:rsidRPr="001613C6">
        <w:rPr>
          <w:rFonts w:ascii="仿宋_GB2312" w:eastAsia="仿宋_GB2312"/>
          <w:sz w:val="30"/>
          <w:szCs w:val="30"/>
        </w:rPr>
        <w:t>16</w:t>
      </w:r>
      <w:r w:rsidRPr="001613C6">
        <w:rPr>
          <w:rFonts w:ascii="仿宋_GB2312" w:eastAsia="仿宋_GB2312" w:hint="eastAsia"/>
          <w:sz w:val="30"/>
          <w:szCs w:val="30"/>
        </w:rPr>
        <w:t>日确定不予核准注册。水浒公司自</w:t>
      </w:r>
      <w:r w:rsidRPr="001613C6">
        <w:rPr>
          <w:rFonts w:ascii="仿宋_GB2312" w:eastAsia="仿宋_GB2312"/>
          <w:sz w:val="30"/>
          <w:szCs w:val="30"/>
        </w:rPr>
        <w:t>2004</w:t>
      </w:r>
      <w:r w:rsidRPr="001613C6">
        <w:rPr>
          <w:rFonts w:ascii="仿宋_GB2312" w:eastAsia="仿宋_GB2312" w:hint="eastAsia"/>
          <w:sz w:val="30"/>
          <w:szCs w:val="30"/>
        </w:rPr>
        <w:t>年以来开始将“</w:t>
      </w:r>
      <w:r w:rsidR="008E3AEC" w:rsidRPr="008906E9">
        <w:rPr>
          <w:rFonts w:ascii="仿宋_GB2312" w:eastAsia="仿宋_GB2312"/>
          <w:sz w:val="30"/>
          <w:szCs w:val="30"/>
        </w:rPr>
        <w:pict>
          <v:shape id="图片 4" o:spid="_x0000_i1038" type="#_x0000_t75" style="width:42.1pt;height:16.85pt">
            <v:imagedata r:id="rId24" o:title=""/>
          </v:shape>
        </w:pict>
      </w:r>
      <w:r w:rsidRPr="001613C6">
        <w:rPr>
          <w:rFonts w:ascii="仿宋_GB2312" w:eastAsia="仿宋_GB2312" w:hint="eastAsia"/>
          <w:sz w:val="30"/>
          <w:szCs w:val="30"/>
        </w:rPr>
        <w:t>”标识广泛使用于其生产的农用车、摩托车轮胎上。普利司通公司从武进区湖塘丰民汽摩配件总汇（以下简称丰民汽配）处购得水浒公司生产的涉嫌侵权产品后提起本案诉讼，请求判令被告立即停止制造、销售侵权产品行为，水浒公司赔偿其损失共计</w:t>
      </w:r>
      <w:r w:rsidRPr="001613C6">
        <w:rPr>
          <w:rFonts w:ascii="仿宋_GB2312" w:eastAsia="仿宋_GB2312"/>
          <w:sz w:val="30"/>
          <w:szCs w:val="30"/>
        </w:rPr>
        <w:t>300</w:t>
      </w:r>
      <w:r w:rsidRPr="001613C6">
        <w:rPr>
          <w:rFonts w:ascii="仿宋_GB2312" w:eastAsia="仿宋_GB2312" w:hint="eastAsia"/>
          <w:sz w:val="30"/>
          <w:szCs w:val="30"/>
        </w:rPr>
        <w:t>万元以及为制止其侵权行为而支出的律师费、调查费、公证费、翻译费等合理费用</w:t>
      </w:r>
      <w:r w:rsidRPr="001613C6">
        <w:rPr>
          <w:rFonts w:ascii="仿宋_GB2312" w:eastAsia="仿宋_GB2312"/>
          <w:sz w:val="30"/>
          <w:szCs w:val="30"/>
        </w:rPr>
        <w:t>291343</w:t>
      </w:r>
      <w:r w:rsidRPr="001613C6">
        <w:rPr>
          <w:rFonts w:ascii="仿宋_GB2312" w:eastAsia="仿宋_GB2312" w:hint="eastAsia"/>
          <w:sz w:val="30"/>
          <w:szCs w:val="30"/>
        </w:rPr>
        <w:t>元，丰民汽配在</w:t>
      </w:r>
      <w:r w:rsidRPr="001613C6">
        <w:rPr>
          <w:rFonts w:ascii="仿宋_GB2312" w:eastAsia="仿宋_GB2312"/>
          <w:sz w:val="30"/>
          <w:szCs w:val="30"/>
        </w:rPr>
        <w:t>10</w:t>
      </w:r>
      <w:r w:rsidRPr="001613C6">
        <w:rPr>
          <w:rFonts w:ascii="仿宋_GB2312" w:eastAsia="仿宋_GB2312" w:hint="eastAsia"/>
          <w:sz w:val="30"/>
          <w:szCs w:val="30"/>
        </w:rPr>
        <w:t>万元范围内承担连带赔偿责任。</w:t>
      </w:r>
    </w:p>
    <w:p w:rsidR="00D906DC" w:rsidRPr="001613C6" w:rsidRDefault="00D906DC" w:rsidP="005F3E79">
      <w:pPr>
        <w:adjustRightInd w:val="0"/>
        <w:snapToGrid w:val="0"/>
        <w:spacing w:line="520" w:lineRule="exact"/>
        <w:ind w:firstLineChars="200" w:firstLine="600"/>
        <w:rPr>
          <w:rFonts w:ascii="仿宋_GB2312" w:eastAsia="仿宋_GB2312"/>
          <w:sz w:val="30"/>
          <w:szCs w:val="30"/>
        </w:rPr>
      </w:pPr>
      <w:r w:rsidRPr="001613C6">
        <w:rPr>
          <w:rFonts w:ascii="仿宋_GB2312" w:eastAsia="仿宋_GB2312" w:hint="eastAsia"/>
          <w:sz w:val="30"/>
          <w:szCs w:val="30"/>
        </w:rPr>
        <w:t>水浒公司辩称：</w:t>
      </w:r>
      <w:r w:rsidRPr="001613C6">
        <w:rPr>
          <w:rFonts w:ascii="仿宋_GB2312" w:eastAsia="仿宋_GB2312"/>
          <w:sz w:val="30"/>
          <w:szCs w:val="30"/>
        </w:rPr>
        <w:t>1.</w:t>
      </w:r>
      <w:r w:rsidRPr="001613C6">
        <w:rPr>
          <w:rFonts w:ascii="仿宋_GB2312" w:eastAsia="仿宋_GB2312" w:hint="eastAsia"/>
          <w:sz w:val="30"/>
          <w:szCs w:val="30"/>
        </w:rPr>
        <w:t>普利司通公司对水浒公司申请的“</w:t>
      </w:r>
      <w:r w:rsidR="008E3AEC" w:rsidRPr="008906E9">
        <w:rPr>
          <w:rFonts w:ascii="仿宋_GB2312" w:eastAsia="仿宋_GB2312"/>
          <w:sz w:val="30"/>
          <w:szCs w:val="30"/>
        </w:rPr>
        <w:pict>
          <v:shape id="_x0000_i1039" type="#_x0000_t75" style="width:42.1pt;height:16.85pt">
            <v:imagedata r:id="rId24" o:title=""/>
          </v:shape>
        </w:pict>
      </w:r>
      <w:r w:rsidRPr="001613C6">
        <w:rPr>
          <w:rFonts w:ascii="仿宋_GB2312" w:eastAsia="仿宋_GB2312" w:hint="eastAsia"/>
          <w:sz w:val="30"/>
          <w:szCs w:val="30"/>
        </w:rPr>
        <w:t>”商标提出的异议，</w:t>
      </w:r>
      <w:r w:rsidRPr="001613C6">
        <w:rPr>
          <w:rFonts w:ascii="仿宋_GB2312" w:eastAsia="仿宋_GB2312"/>
          <w:sz w:val="30"/>
          <w:szCs w:val="30"/>
        </w:rPr>
        <w:t>2015</w:t>
      </w:r>
      <w:r w:rsidRPr="001613C6">
        <w:rPr>
          <w:rFonts w:ascii="仿宋_GB2312" w:eastAsia="仿宋_GB2312" w:hint="eastAsia"/>
          <w:sz w:val="30"/>
          <w:szCs w:val="30"/>
        </w:rPr>
        <w:t>年</w:t>
      </w:r>
      <w:r w:rsidRPr="001613C6">
        <w:rPr>
          <w:rFonts w:ascii="仿宋_GB2312" w:eastAsia="仿宋_GB2312"/>
          <w:sz w:val="30"/>
          <w:szCs w:val="30"/>
        </w:rPr>
        <w:t>12</w:t>
      </w:r>
      <w:r w:rsidRPr="001613C6">
        <w:rPr>
          <w:rFonts w:ascii="仿宋_GB2312" w:eastAsia="仿宋_GB2312" w:hint="eastAsia"/>
          <w:sz w:val="30"/>
          <w:szCs w:val="30"/>
        </w:rPr>
        <w:t>月</w:t>
      </w:r>
      <w:r w:rsidRPr="001613C6">
        <w:rPr>
          <w:rFonts w:ascii="仿宋_GB2312" w:eastAsia="仿宋_GB2312"/>
          <w:sz w:val="30"/>
          <w:szCs w:val="30"/>
        </w:rPr>
        <w:t>16</w:t>
      </w:r>
      <w:r w:rsidRPr="001613C6">
        <w:rPr>
          <w:rFonts w:ascii="仿宋_GB2312" w:eastAsia="仿宋_GB2312" w:hint="eastAsia"/>
          <w:sz w:val="30"/>
          <w:szCs w:val="30"/>
        </w:rPr>
        <w:t>日才由北京市高级人民法院作出终审判决，说明“</w:t>
      </w:r>
      <w:r w:rsidR="008E3AEC" w:rsidRPr="008906E9">
        <w:rPr>
          <w:rFonts w:ascii="仿宋_GB2312" w:eastAsia="仿宋_GB2312"/>
          <w:sz w:val="30"/>
          <w:szCs w:val="30"/>
        </w:rPr>
        <w:pict>
          <v:shape id="_x0000_i1040" type="#_x0000_t75" style="width:42.1pt;height:16.85pt">
            <v:imagedata r:id="rId24" o:title=""/>
          </v:shape>
        </w:pict>
      </w:r>
      <w:r w:rsidRPr="001613C6">
        <w:rPr>
          <w:rFonts w:ascii="仿宋_GB2312" w:eastAsia="仿宋_GB2312" w:hint="eastAsia"/>
          <w:sz w:val="30"/>
          <w:szCs w:val="30"/>
        </w:rPr>
        <w:t>”是否与“普利司通”商标构成近似本身存在争议。在终审判决作出之前，水浒公司不存在侵权的问题。</w:t>
      </w:r>
      <w:r w:rsidRPr="001613C6">
        <w:rPr>
          <w:rFonts w:ascii="仿宋_GB2312" w:eastAsia="仿宋_GB2312"/>
          <w:sz w:val="30"/>
          <w:szCs w:val="30"/>
        </w:rPr>
        <w:t>2.</w:t>
      </w:r>
      <w:r w:rsidRPr="001613C6">
        <w:rPr>
          <w:rFonts w:ascii="仿宋_GB2312" w:eastAsia="仿宋_GB2312" w:hint="eastAsia"/>
          <w:sz w:val="30"/>
          <w:szCs w:val="30"/>
        </w:rPr>
        <w:t>水浒公司将“福力思通”用于摩托车轮胎和农用三轮车轮胎的生产，而“普利司通”商标核定使用范围不包括摩托车轮胎和农用三轮车轮胎，两者不属于相同商品上的使用。</w:t>
      </w:r>
      <w:r w:rsidRPr="001613C6">
        <w:rPr>
          <w:rFonts w:ascii="仿宋_GB2312" w:eastAsia="仿宋_GB2312"/>
          <w:sz w:val="30"/>
          <w:szCs w:val="30"/>
        </w:rPr>
        <w:t>3.</w:t>
      </w:r>
      <w:r w:rsidRPr="001613C6">
        <w:rPr>
          <w:rFonts w:ascii="仿宋_GB2312" w:eastAsia="仿宋_GB2312" w:hint="eastAsia"/>
          <w:sz w:val="30"/>
          <w:szCs w:val="30"/>
        </w:rPr>
        <w:t>水浒公司在</w:t>
      </w:r>
      <w:r w:rsidRPr="001613C6">
        <w:rPr>
          <w:rFonts w:ascii="仿宋_GB2312" w:eastAsia="仿宋_GB2312"/>
          <w:sz w:val="30"/>
          <w:szCs w:val="30"/>
        </w:rPr>
        <w:t>2017</w:t>
      </w:r>
      <w:r w:rsidRPr="001613C6">
        <w:rPr>
          <w:rFonts w:ascii="仿宋_GB2312" w:eastAsia="仿宋_GB2312" w:hint="eastAsia"/>
          <w:sz w:val="30"/>
          <w:szCs w:val="30"/>
        </w:rPr>
        <w:t>年</w:t>
      </w:r>
      <w:r w:rsidRPr="001613C6">
        <w:rPr>
          <w:rFonts w:ascii="仿宋_GB2312" w:eastAsia="仿宋_GB2312"/>
          <w:sz w:val="30"/>
          <w:szCs w:val="30"/>
        </w:rPr>
        <w:t>12</w:t>
      </w:r>
      <w:r w:rsidRPr="001613C6">
        <w:rPr>
          <w:rFonts w:ascii="仿宋_GB2312" w:eastAsia="仿宋_GB2312" w:hint="eastAsia"/>
          <w:sz w:val="30"/>
          <w:szCs w:val="30"/>
        </w:rPr>
        <w:t>月</w:t>
      </w:r>
      <w:r w:rsidRPr="001613C6">
        <w:rPr>
          <w:rFonts w:ascii="仿宋_GB2312" w:eastAsia="仿宋_GB2312"/>
          <w:sz w:val="30"/>
          <w:szCs w:val="30"/>
        </w:rPr>
        <w:t>20</w:t>
      </w:r>
      <w:r w:rsidRPr="001613C6">
        <w:rPr>
          <w:rFonts w:ascii="仿宋_GB2312" w:eastAsia="仿宋_GB2312" w:hint="eastAsia"/>
          <w:sz w:val="30"/>
          <w:szCs w:val="30"/>
        </w:rPr>
        <w:t>日因环保问题被关停，此后不存在生产行为。</w:t>
      </w:r>
    </w:p>
    <w:p w:rsidR="00D906DC" w:rsidRPr="001613C6" w:rsidRDefault="00D906DC" w:rsidP="005F3E79">
      <w:pPr>
        <w:adjustRightInd w:val="0"/>
        <w:snapToGrid w:val="0"/>
        <w:spacing w:line="520" w:lineRule="exact"/>
        <w:ind w:firstLineChars="200" w:firstLine="602"/>
        <w:rPr>
          <w:rFonts w:ascii="仿宋_GB2312" w:eastAsia="仿宋_GB2312"/>
          <w:b/>
          <w:bCs/>
          <w:sz w:val="30"/>
          <w:szCs w:val="30"/>
        </w:rPr>
      </w:pPr>
      <w:r w:rsidRPr="001613C6">
        <w:rPr>
          <w:rFonts w:ascii="仿宋_GB2312" w:eastAsia="仿宋_GB2312" w:hint="eastAsia"/>
          <w:b/>
          <w:bCs/>
          <w:sz w:val="30"/>
          <w:szCs w:val="30"/>
        </w:rPr>
        <w:t>【法院认为】</w:t>
      </w:r>
    </w:p>
    <w:p w:rsidR="00D906DC" w:rsidRPr="001613C6" w:rsidRDefault="00D906DC" w:rsidP="005F3E79">
      <w:pPr>
        <w:adjustRightInd w:val="0"/>
        <w:snapToGrid w:val="0"/>
        <w:spacing w:line="520" w:lineRule="exact"/>
        <w:ind w:firstLineChars="200" w:firstLine="600"/>
        <w:rPr>
          <w:rFonts w:ascii="仿宋_GB2312" w:eastAsia="仿宋_GB2312"/>
          <w:sz w:val="30"/>
          <w:szCs w:val="30"/>
        </w:rPr>
      </w:pPr>
      <w:r w:rsidRPr="001613C6">
        <w:rPr>
          <w:rFonts w:ascii="仿宋_GB2312" w:eastAsia="仿宋_GB2312" w:hint="eastAsia"/>
          <w:sz w:val="30"/>
          <w:szCs w:val="30"/>
        </w:rPr>
        <w:t>苏州中院一审认为：</w:t>
      </w:r>
    </w:p>
    <w:p w:rsidR="00D906DC" w:rsidRPr="001613C6" w:rsidRDefault="00D906DC" w:rsidP="005F3E79">
      <w:pPr>
        <w:adjustRightInd w:val="0"/>
        <w:snapToGrid w:val="0"/>
        <w:spacing w:line="520" w:lineRule="exact"/>
        <w:ind w:firstLineChars="200" w:firstLine="600"/>
        <w:rPr>
          <w:rFonts w:ascii="仿宋_GB2312" w:eastAsia="仿宋_GB2312"/>
          <w:sz w:val="30"/>
          <w:szCs w:val="30"/>
        </w:rPr>
      </w:pPr>
      <w:r w:rsidRPr="001613C6">
        <w:rPr>
          <w:rFonts w:ascii="仿宋_GB2312" w:eastAsia="仿宋_GB2312" w:hint="eastAsia"/>
          <w:sz w:val="30"/>
          <w:szCs w:val="30"/>
        </w:rPr>
        <w:t>一、关于本案侵权争议</w:t>
      </w:r>
    </w:p>
    <w:p w:rsidR="00D906DC" w:rsidRPr="001613C6" w:rsidRDefault="00D906DC" w:rsidP="005F3E79">
      <w:pPr>
        <w:adjustRightInd w:val="0"/>
        <w:snapToGrid w:val="0"/>
        <w:spacing w:line="520" w:lineRule="exact"/>
        <w:ind w:firstLineChars="200" w:firstLine="600"/>
        <w:rPr>
          <w:rFonts w:ascii="仿宋_GB2312" w:eastAsia="仿宋_GB2312"/>
          <w:sz w:val="30"/>
          <w:szCs w:val="30"/>
        </w:rPr>
      </w:pPr>
      <w:r w:rsidRPr="001613C6">
        <w:rPr>
          <w:rFonts w:ascii="仿宋_GB2312" w:eastAsia="仿宋_GB2312" w:hint="eastAsia"/>
          <w:sz w:val="30"/>
          <w:szCs w:val="30"/>
        </w:rPr>
        <w:t>关于商品类别争议，被诉侵权产品为农用车轮胎、摩托车轮胎。涉案第</w:t>
      </w:r>
      <w:r w:rsidRPr="001613C6">
        <w:rPr>
          <w:rFonts w:ascii="仿宋_GB2312" w:eastAsia="仿宋_GB2312"/>
          <w:sz w:val="30"/>
          <w:szCs w:val="30"/>
        </w:rPr>
        <w:t>382697</w:t>
      </w:r>
      <w:r w:rsidRPr="001613C6">
        <w:rPr>
          <w:rFonts w:ascii="仿宋_GB2312" w:eastAsia="仿宋_GB2312" w:hint="eastAsia"/>
          <w:sz w:val="30"/>
          <w:szCs w:val="30"/>
        </w:rPr>
        <w:t>号“</w:t>
      </w:r>
      <w:r w:rsidR="008E3AEC" w:rsidRPr="008906E9">
        <w:rPr>
          <w:rFonts w:ascii="仿宋_GB2312" w:eastAsia="仿宋_GB2312"/>
          <w:sz w:val="30"/>
          <w:szCs w:val="30"/>
        </w:rPr>
        <w:pict>
          <v:shape id="图片 7" o:spid="_x0000_i1041" type="#_x0000_t75" style="width:47.7pt;height:16.85pt">
            <v:imagedata r:id="rId23" o:title=""/>
          </v:shape>
        </w:pict>
      </w:r>
      <w:r w:rsidRPr="001613C6">
        <w:rPr>
          <w:rFonts w:ascii="仿宋_GB2312" w:eastAsia="仿宋_GB2312" w:hint="eastAsia"/>
          <w:sz w:val="30"/>
          <w:szCs w:val="30"/>
        </w:rPr>
        <w:t>”商标核定使用商品类别包括了第</w:t>
      </w:r>
      <w:r w:rsidRPr="001613C6">
        <w:rPr>
          <w:rFonts w:ascii="仿宋_GB2312" w:eastAsia="仿宋_GB2312"/>
          <w:sz w:val="30"/>
          <w:szCs w:val="30"/>
        </w:rPr>
        <w:t>12</w:t>
      </w:r>
      <w:r w:rsidRPr="001613C6">
        <w:rPr>
          <w:rFonts w:ascii="仿宋_GB2312" w:eastAsia="仿宋_GB2312" w:hint="eastAsia"/>
          <w:sz w:val="30"/>
          <w:szCs w:val="30"/>
        </w:rPr>
        <w:t>类的</w:t>
      </w:r>
      <w:r w:rsidRPr="001613C6">
        <w:rPr>
          <w:rFonts w:ascii="仿宋_GB2312" w:eastAsia="仿宋_GB2312" w:hint="eastAsia"/>
          <w:sz w:val="30"/>
          <w:szCs w:val="30"/>
        </w:rPr>
        <w:lastRenderedPageBreak/>
        <w:t>轮胎，鉴于第</w:t>
      </w:r>
      <w:r w:rsidRPr="001613C6">
        <w:rPr>
          <w:rFonts w:ascii="仿宋_GB2312" w:eastAsia="仿宋_GB2312"/>
          <w:sz w:val="30"/>
          <w:szCs w:val="30"/>
        </w:rPr>
        <w:t>382697</w:t>
      </w:r>
      <w:r w:rsidRPr="001613C6">
        <w:rPr>
          <w:rFonts w:ascii="仿宋_GB2312" w:eastAsia="仿宋_GB2312" w:hint="eastAsia"/>
          <w:sz w:val="30"/>
          <w:szCs w:val="30"/>
        </w:rPr>
        <w:t>号商标于</w:t>
      </w:r>
      <w:r w:rsidRPr="001613C6">
        <w:rPr>
          <w:rFonts w:ascii="仿宋_GB2312" w:eastAsia="仿宋_GB2312"/>
          <w:sz w:val="30"/>
          <w:szCs w:val="30"/>
        </w:rPr>
        <w:t>1986</w:t>
      </w:r>
      <w:r w:rsidRPr="001613C6">
        <w:rPr>
          <w:rFonts w:ascii="仿宋_GB2312" w:eastAsia="仿宋_GB2312" w:hint="eastAsia"/>
          <w:sz w:val="30"/>
          <w:szCs w:val="30"/>
        </w:rPr>
        <w:t>年即已申请注册，彼时的商标注册用商品类别的区分尚不够细化，而现行的《类似商品和服务区分表》中也未将农用车轮胎、摩托车轮胎列为单独类别，第</w:t>
      </w:r>
      <w:r w:rsidRPr="001613C6">
        <w:rPr>
          <w:rFonts w:ascii="仿宋_GB2312" w:eastAsia="仿宋_GB2312"/>
          <w:sz w:val="30"/>
          <w:szCs w:val="30"/>
        </w:rPr>
        <w:t>382697</w:t>
      </w:r>
      <w:r w:rsidRPr="001613C6">
        <w:rPr>
          <w:rFonts w:ascii="仿宋_GB2312" w:eastAsia="仿宋_GB2312" w:hint="eastAsia"/>
          <w:sz w:val="30"/>
          <w:szCs w:val="30"/>
        </w:rPr>
        <w:t>号商标核定使用的“轮胎”应包括农用车轮胎及摩托车轮胎。因此被诉侵权产品与第</w:t>
      </w:r>
      <w:r w:rsidRPr="001613C6">
        <w:rPr>
          <w:rFonts w:ascii="仿宋_GB2312" w:eastAsia="仿宋_GB2312"/>
          <w:sz w:val="30"/>
          <w:szCs w:val="30"/>
        </w:rPr>
        <w:t>382697</w:t>
      </w:r>
      <w:r w:rsidRPr="001613C6">
        <w:rPr>
          <w:rFonts w:ascii="仿宋_GB2312" w:eastAsia="仿宋_GB2312" w:hint="eastAsia"/>
          <w:sz w:val="30"/>
          <w:szCs w:val="30"/>
        </w:rPr>
        <w:t>号商标核定使用商品构成相同商品。第</w:t>
      </w:r>
      <w:r w:rsidRPr="001613C6">
        <w:rPr>
          <w:rFonts w:ascii="仿宋_GB2312" w:eastAsia="仿宋_GB2312"/>
          <w:sz w:val="30"/>
          <w:szCs w:val="30"/>
        </w:rPr>
        <w:t>1424390</w:t>
      </w:r>
      <w:r w:rsidRPr="001613C6">
        <w:rPr>
          <w:rFonts w:ascii="仿宋_GB2312" w:eastAsia="仿宋_GB2312" w:hint="eastAsia"/>
          <w:sz w:val="30"/>
          <w:szCs w:val="30"/>
        </w:rPr>
        <w:t>号“</w:t>
      </w:r>
      <w:r w:rsidR="008E3AEC" w:rsidRPr="008906E9">
        <w:rPr>
          <w:rFonts w:ascii="仿宋_GB2312" w:eastAsia="仿宋_GB2312"/>
          <w:sz w:val="30"/>
          <w:szCs w:val="30"/>
        </w:rPr>
        <w:pict>
          <v:shape id="图片 11" o:spid="_x0000_i1042" type="#_x0000_t75" style="width:1in;height:16.85pt">
            <v:imagedata r:id="rId25" o:title=""/>
          </v:shape>
        </w:pict>
      </w:r>
      <w:r w:rsidRPr="001613C6">
        <w:rPr>
          <w:rFonts w:ascii="仿宋_GB2312" w:eastAsia="仿宋_GB2312" w:hint="eastAsia"/>
          <w:sz w:val="30"/>
          <w:szCs w:val="30"/>
        </w:rPr>
        <w:t>”商标核定使用商品为第</w:t>
      </w:r>
      <w:r w:rsidRPr="001613C6">
        <w:rPr>
          <w:rFonts w:ascii="仿宋_GB2312" w:eastAsia="仿宋_GB2312"/>
          <w:sz w:val="30"/>
          <w:szCs w:val="30"/>
        </w:rPr>
        <w:t>12</w:t>
      </w:r>
      <w:r w:rsidRPr="001613C6">
        <w:rPr>
          <w:rFonts w:ascii="仿宋_GB2312" w:eastAsia="仿宋_GB2312" w:hint="eastAsia"/>
          <w:sz w:val="30"/>
          <w:szCs w:val="30"/>
        </w:rPr>
        <w:t>类的轮胎（车辆用）、汽车用轮胎。按通常解释车辆包括机动车与非机动车，《中华人民共和国车辆购置税暂行条例》第三条明确规定“车辆”包括摩托车、农用运输车等，故无论是农用车，还是摩托车均属于车辆范畴，而现行的《类似商品和服务区分表》中也未将农用车或摩托车的轮胎列为单独类别。故被诉侵权产品与第</w:t>
      </w:r>
      <w:r w:rsidRPr="001613C6">
        <w:rPr>
          <w:rFonts w:ascii="仿宋_GB2312" w:eastAsia="仿宋_GB2312"/>
          <w:sz w:val="30"/>
          <w:szCs w:val="30"/>
        </w:rPr>
        <w:t>1424390</w:t>
      </w:r>
      <w:r w:rsidRPr="001613C6">
        <w:rPr>
          <w:rFonts w:ascii="仿宋_GB2312" w:eastAsia="仿宋_GB2312" w:hint="eastAsia"/>
          <w:sz w:val="30"/>
          <w:szCs w:val="30"/>
        </w:rPr>
        <w:t>号商标核定使用商品亦构成相同商品。</w:t>
      </w:r>
    </w:p>
    <w:p w:rsidR="00D906DC" w:rsidRPr="001613C6" w:rsidRDefault="00D906DC" w:rsidP="005F3E79">
      <w:pPr>
        <w:adjustRightInd w:val="0"/>
        <w:snapToGrid w:val="0"/>
        <w:spacing w:line="520" w:lineRule="exact"/>
        <w:ind w:firstLineChars="200" w:firstLine="600"/>
        <w:rPr>
          <w:rFonts w:ascii="仿宋_GB2312" w:eastAsia="仿宋_GB2312"/>
          <w:sz w:val="30"/>
          <w:szCs w:val="30"/>
        </w:rPr>
      </w:pPr>
      <w:r w:rsidRPr="001613C6">
        <w:rPr>
          <w:rFonts w:ascii="仿宋_GB2312" w:eastAsia="仿宋_GB2312" w:hint="eastAsia"/>
          <w:sz w:val="30"/>
          <w:szCs w:val="30"/>
        </w:rPr>
        <w:t>关于近似与否的争议，普利司通公司涉案商标在中国市场上具有极高知名度。被诉侵权标识由“福力思通”与“</w:t>
      </w:r>
      <w:r w:rsidRPr="001613C6">
        <w:rPr>
          <w:rFonts w:ascii="仿宋_GB2312" w:eastAsia="仿宋_GB2312"/>
          <w:sz w:val="30"/>
          <w:szCs w:val="30"/>
        </w:rPr>
        <w:t>FULISITONG</w:t>
      </w:r>
      <w:r w:rsidRPr="001613C6">
        <w:rPr>
          <w:rFonts w:ascii="仿宋_GB2312" w:eastAsia="仿宋_GB2312" w:hint="eastAsia"/>
          <w:sz w:val="30"/>
          <w:szCs w:val="30"/>
        </w:rPr>
        <w:t>”组成。其中“福力思通”与第</w:t>
      </w:r>
      <w:r w:rsidRPr="001613C6">
        <w:rPr>
          <w:rFonts w:ascii="仿宋_GB2312" w:eastAsia="仿宋_GB2312"/>
          <w:sz w:val="30"/>
          <w:szCs w:val="30"/>
        </w:rPr>
        <w:t>382697</w:t>
      </w:r>
      <w:r w:rsidRPr="001613C6">
        <w:rPr>
          <w:rFonts w:ascii="仿宋_GB2312" w:eastAsia="仿宋_GB2312" w:hint="eastAsia"/>
          <w:sz w:val="30"/>
          <w:szCs w:val="30"/>
        </w:rPr>
        <w:t>号“</w:t>
      </w:r>
      <w:r w:rsidR="008E3AEC" w:rsidRPr="008906E9">
        <w:rPr>
          <w:rFonts w:ascii="仿宋_GB2312" w:eastAsia="仿宋_GB2312"/>
          <w:sz w:val="30"/>
          <w:szCs w:val="30"/>
        </w:rPr>
        <w:pict>
          <v:shape id="图片 13" o:spid="_x0000_i1043" type="#_x0000_t75" style="width:47.7pt;height:16.85pt">
            <v:imagedata r:id="rId23" o:title=""/>
          </v:shape>
        </w:pict>
      </w:r>
      <w:r w:rsidRPr="001613C6">
        <w:rPr>
          <w:rFonts w:ascii="仿宋_GB2312" w:eastAsia="仿宋_GB2312" w:hint="eastAsia"/>
          <w:sz w:val="30"/>
          <w:szCs w:val="30"/>
        </w:rPr>
        <w:t>”商标在读音上高度近似；被诉侵权产品使用的“</w:t>
      </w:r>
      <w:r w:rsidRPr="001613C6">
        <w:rPr>
          <w:rFonts w:ascii="仿宋_GB2312" w:eastAsia="仿宋_GB2312"/>
          <w:sz w:val="30"/>
          <w:szCs w:val="30"/>
        </w:rPr>
        <w:t>FULISITONG</w:t>
      </w:r>
      <w:r w:rsidRPr="001613C6">
        <w:rPr>
          <w:rFonts w:ascii="仿宋_GB2312" w:eastAsia="仿宋_GB2312" w:hint="eastAsia"/>
          <w:sz w:val="30"/>
          <w:szCs w:val="30"/>
        </w:rPr>
        <w:t>”标识具体使用的字体与第</w:t>
      </w:r>
      <w:r w:rsidRPr="001613C6">
        <w:rPr>
          <w:rFonts w:ascii="仿宋_GB2312" w:eastAsia="仿宋_GB2312"/>
          <w:sz w:val="30"/>
          <w:szCs w:val="30"/>
        </w:rPr>
        <w:t>1424390</w:t>
      </w:r>
      <w:r w:rsidRPr="001613C6">
        <w:rPr>
          <w:rFonts w:ascii="仿宋_GB2312" w:eastAsia="仿宋_GB2312" w:hint="eastAsia"/>
          <w:sz w:val="30"/>
          <w:szCs w:val="30"/>
        </w:rPr>
        <w:t>号“</w:t>
      </w:r>
      <w:r w:rsidR="008E3AEC" w:rsidRPr="008906E9">
        <w:rPr>
          <w:rFonts w:ascii="仿宋_GB2312" w:eastAsia="仿宋_GB2312"/>
          <w:sz w:val="30"/>
          <w:szCs w:val="30"/>
        </w:rPr>
        <w:pict>
          <v:shape id="图片 14" o:spid="_x0000_i1044" type="#_x0000_t75" style="width:1in;height:16.85pt">
            <v:imagedata r:id="rId25" o:title=""/>
          </v:shape>
        </w:pict>
      </w:r>
      <w:r w:rsidRPr="001613C6">
        <w:rPr>
          <w:rFonts w:ascii="仿宋_GB2312" w:eastAsia="仿宋_GB2312" w:hint="eastAsia"/>
          <w:sz w:val="30"/>
          <w:szCs w:val="30"/>
        </w:rPr>
        <w:t>”商标在视觉上高度近似，且读音与“普利司通”高度近似。考虑涉案两注册商标的极高知名度，无论将“福力思通”与“</w:t>
      </w:r>
      <w:r w:rsidRPr="001613C6">
        <w:rPr>
          <w:rFonts w:ascii="仿宋_GB2312" w:eastAsia="仿宋_GB2312"/>
          <w:sz w:val="30"/>
          <w:szCs w:val="30"/>
        </w:rPr>
        <w:t>FULISITONG</w:t>
      </w:r>
      <w:r w:rsidRPr="001613C6">
        <w:rPr>
          <w:rFonts w:ascii="仿宋_GB2312" w:eastAsia="仿宋_GB2312" w:hint="eastAsia"/>
          <w:sz w:val="30"/>
          <w:szCs w:val="30"/>
        </w:rPr>
        <w:t>”组合还是分别使用于轮胎商品上，均将导致相关公众对商品来源产生混淆、误认。</w:t>
      </w:r>
    </w:p>
    <w:p w:rsidR="00D906DC" w:rsidRPr="001613C6" w:rsidRDefault="00D906DC" w:rsidP="005F3E79">
      <w:pPr>
        <w:adjustRightInd w:val="0"/>
        <w:snapToGrid w:val="0"/>
        <w:spacing w:line="520" w:lineRule="exact"/>
        <w:ind w:firstLineChars="200" w:firstLine="600"/>
        <w:rPr>
          <w:rFonts w:ascii="仿宋_GB2312" w:eastAsia="仿宋_GB2312"/>
          <w:sz w:val="30"/>
          <w:szCs w:val="30"/>
        </w:rPr>
      </w:pPr>
      <w:r w:rsidRPr="001613C6">
        <w:rPr>
          <w:rFonts w:ascii="仿宋_GB2312" w:eastAsia="仿宋_GB2312" w:hint="eastAsia"/>
          <w:sz w:val="30"/>
          <w:szCs w:val="30"/>
        </w:rPr>
        <w:t>综上，水浒公司在被诉侵权产品及其宣传中使用“</w:t>
      </w:r>
      <w:r w:rsidR="008E3AEC" w:rsidRPr="008906E9">
        <w:rPr>
          <w:rFonts w:ascii="仿宋_GB2312" w:eastAsia="仿宋_GB2312"/>
          <w:sz w:val="30"/>
          <w:szCs w:val="30"/>
        </w:rPr>
        <w:pict>
          <v:shape id="图片 15" o:spid="_x0000_i1045" type="#_x0000_t75" style="width:42.1pt;height:16.85pt">
            <v:imagedata r:id="rId24" o:title=""/>
          </v:shape>
        </w:pict>
      </w:r>
      <w:r w:rsidRPr="001613C6">
        <w:rPr>
          <w:rFonts w:ascii="仿宋_GB2312" w:eastAsia="仿宋_GB2312" w:hint="eastAsia"/>
          <w:sz w:val="30"/>
          <w:szCs w:val="30"/>
        </w:rPr>
        <w:t>”“福力思通”“</w:t>
      </w:r>
      <w:r w:rsidRPr="001613C6">
        <w:rPr>
          <w:rFonts w:ascii="仿宋_GB2312" w:eastAsia="仿宋_GB2312"/>
          <w:sz w:val="30"/>
          <w:szCs w:val="30"/>
        </w:rPr>
        <w:t>FULISITONG</w:t>
      </w:r>
      <w:r w:rsidRPr="001613C6">
        <w:rPr>
          <w:rFonts w:ascii="仿宋_GB2312" w:eastAsia="仿宋_GB2312" w:hint="eastAsia"/>
          <w:sz w:val="30"/>
          <w:szCs w:val="30"/>
        </w:rPr>
        <w:t>”标识的行为，属于未经许可在相同商品上使用与涉案两注册商标相近似的商标，且容易导致混淆，水浒公司的行为构成商标侵权。</w:t>
      </w:r>
    </w:p>
    <w:p w:rsidR="00D906DC" w:rsidRPr="001613C6" w:rsidRDefault="00D906DC" w:rsidP="005F3E79">
      <w:pPr>
        <w:adjustRightInd w:val="0"/>
        <w:snapToGrid w:val="0"/>
        <w:spacing w:line="520" w:lineRule="exact"/>
        <w:ind w:firstLineChars="200" w:firstLine="600"/>
        <w:rPr>
          <w:rFonts w:ascii="仿宋_GB2312" w:eastAsia="仿宋_GB2312"/>
          <w:sz w:val="30"/>
          <w:szCs w:val="30"/>
        </w:rPr>
      </w:pPr>
      <w:r w:rsidRPr="001613C6">
        <w:rPr>
          <w:rFonts w:ascii="仿宋_GB2312" w:eastAsia="仿宋_GB2312" w:hint="eastAsia"/>
          <w:sz w:val="30"/>
          <w:szCs w:val="30"/>
        </w:rPr>
        <w:t>二、关于侵权责任争议</w:t>
      </w:r>
    </w:p>
    <w:p w:rsidR="00D906DC" w:rsidRPr="001613C6" w:rsidRDefault="00D906DC" w:rsidP="005F3E79">
      <w:pPr>
        <w:adjustRightInd w:val="0"/>
        <w:snapToGrid w:val="0"/>
        <w:spacing w:line="520" w:lineRule="exact"/>
        <w:ind w:firstLineChars="200" w:firstLine="600"/>
        <w:rPr>
          <w:rFonts w:ascii="仿宋_GB2312" w:eastAsia="仿宋_GB2312"/>
          <w:sz w:val="30"/>
          <w:szCs w:val="30"/>
        </w:rPr>
      </w:pPr>
      <w:r w:rsidRPr="001613C6">
        <w:rPr>
          <w:rFonts w:ascii="仿宋_GB2312" w:eastAsia="仿宋_GB2312" w:hint="eastAsia"/>
          <w:sz w:val="30"/>
          <w:szCs w:val="30"/>
        </w:rPr>
        <w:lastRenderedPageBreak/>
        <w:t>综合审理查明的事实，水浒公司</w:t>
      </w:r>
      <w:r w:rsidRPr="001613C6">
        <w:rPr>
          <w:rFonts w:ascii="仿宋_GB2312" w:eastAsia="仿宋_GB2312"/>
          <w:sz w:val="30"/>
          <w:szCs w:val="30"/>
        </w:rPr>
        <w:t>2017</w:t>
      </w:r>
      <w:r w:rsidRPr="001613C6">
        <w:rPr>
          <w:rFonts w:ascii="仿宋_GB2312" w:eastAsia="仿宋_GB2312" w:hint="eastAsia"/>
          <w:sz w:val="30"/>
          <w:szCs w:val="30"/>
        </w:rPr>
        <w:t>年底实际停产的事实可以采信。但本案仍需判令水浒公司停止侵权，以明确其应负的法律义务，包括但不限于不得将被诉侵权标识继续使用于其生产、销售的产品以及宣传活动。丰民汽配销售的产品来自水浒公司，其来源明确，但合法来源抗辩不成立。丰民汽配本身销售、批发“普利司通”正品轮胎，应当知晓涉案商标知名度，考虑被诉侵权标识与普利司通公司商标的近似度，丰民汽配应当引起警觉并负相应审查义务，而“</w:t>
      </w:r>
      <w:r w:rsidR="008E3AEC" w:rsidRPr="008906E9">
        <w:rPr>
          <w:rFonts w:ascii="仿宋_GB2312" w:eastAsia="仿宋_GB2312"/>
          <w:sz w:val="30"/>
          <w:szCs w:val="30"/>
        </w:rPr>
        <w:pict>
          <v:shape id="图片 22" o:spid="_x0000_i1046" type="#_x0000_t75" style="width:42.1pt;height:16.85pt">
            <v:imagedata r:id="rId24" o:title=""/>
          </v:shape>
        </w:pict>
      </w:r>
      <w:r w:rsidRPr="001613C6">
        <w:rPr>
          <w:rFonts w:ascii="仿宋_GB2312" w:eastAsia="仿宋_GB2312" w:hint="eastAsia"/>
          <w:sz w:val="30"/>
          <w:szCs w:val="30"/>
        </w:rPr>
        <w:t>”商标申请情况属于可公开查询的内容，故本案难以认定丰民汽配系不知道被诉侵权产品侵权而予以销售。丰民汽配的销售行为客观上扩大了水浒公司侵权行为的影响范围以及对普利司通公司造成的经济损失。普利司通公司要求丰民汽配根据其销售情节就水浒公司的侵权赔偿承担部分连带责任，于法有据，予以支持。</w:t>
      </w:r>
    </w:p>
    <w:p w:rsidR="00D906DC" w:rsidRPr="001613C6" w:rsidRDefault="00D906DC" w:rsidP="005F3E79">
      <w:pPr>
        <w:adjustRightInd w:val="0"/>
        <w:snapToGrid w:val="0"/>
        <w:spacing w:line="520" w:lineRule="exact"/>
        <w:ind w:firstLineChars="200" w:firstLine="600"/>
        <w:rPr>
          <w:rFonts w:ascii="仿宋_GB2312" w:eastAsia="仿宋_GB2312"/>
          <w:sz w:val="30"/>
          <w:szCs w:val="30"/>
        </w:rPr>
      </w:pPr>
      <w:r w:rsidRPr="001613C6">
        <w:rPr>
          <w:rFonts w:ascii="仿宋_GB2312" w:eastAsia="仿宋_GB2312" w:hint="eastAsia"/>
          <w:sz w:val="30"/>
          <w:szCs w:val="30"/>
        </w:rPr>
        <w:t>三、关于侵权赔偿数额</w:t>
      </w:r>
    </w:p>
    <w:p w:rsidR="00D906DC" w:rsidRPr="001613C6" w:rsidRDefault="00D906DC" w:rsidP="005F3E79">
      <w:pPr>
        <w:adjustRightInd w:val="0"/>
        <w:snapToGrid w:val="0"/>
        <w:spacing w:line="520" w:lineRule="exact"/>
        <w:ind w:firstLineChars="200" w:firstLine="600"/>
        <w:rPr>
          <w:rFonts w:ascii="仿宋_GB2312" w:eastAsia="仿宋_GB2312"/>
          <w:sz w:val="30"/>
          <w:szCs w:val="30"/>
        </w:rPr>
      </w:pPr>
      <w:r w:rsidRPr="001613C6">
        <w:rPr>
          <w:rFonts w:ascii="仿宋_GB2312" w:eastAsia="仿宋_GB2312" w:hint="eastAsia"/>
          <w:sz w:val="30"/>
          <w:szCs w:val="30"/>
        </w:rPr>
        <w:t>普利司通公司诉请的</w:t>
      </w:r>
      <w:r w:rsidRPr="001613C6">
        <w:rPr>
          <w:rFonts w:ascii="仿宋_GB2312" w:eastAsia="仿宋_GB2312"/>
          <w:sz w:val="30"/>
          <w:szCs w:val="30"/>
        </w:rPr>
        <w:t>300</w:t>
      </w:r>
      <w:r w:rsidRPr="001613C6">
        <w:rPr>
          <w:rFonts w:ascii="仿宋_GB2312" w:eastAsia="仿宋_GB2312" w:hint="eastAsia"/>
          <w:sz w:val="30"/>
          <w:szCs w:val="30"/>
        </w:rPr>
        <w:t>万元侵权赔偿数额具有充足、合理的依据，予以全额支持。考虑因素如下：</w:t>
      </w:r>
      <w:r w:rsidRPr="001613C6">
        <w:rPr>
          <w:rFonts w:ascii="仿宋_GB2312" w:eastAsia="仿宋_GB2312"/>
          <w:sz w:val="30"/>
          <w:szCs w:val="30"/>
        </w:rPr>
        <w:t>1.</w:t>
      </w:r>
      <w:r w:rsidRPr="001613C6">
        <w:rPr>
          <w:rFonts w:ascii="仿宋_GB2312" w:eastAsia="仿宋_GB2312" w:hint="eastAsia"/>
          <w:sz w:val="30"/>
          <w:szCs w:val="30"/>
        </w:rPr>
        <w:t>涉案侵权行为持续期间。水浒公司</w:t>
      </w:r>
      <w:r w:rsidRPr="001613C6">
        <w:rPr>
          <w:rFonts w:ascii="仿宋_GB2312" w:eastAsia="仿宋_GB2312"/>
          <w:sz w:val="30"/>
          <w:szCs w:val="30"/>
        </w:rPr>
        <w:t>2004</w:t>
      </w:r>
      <w:r w:rsidRPr="001613C6">
        <w:rPr>
          <w:rFonts w:ascii="仿宋_GB2312" w:eastAsia="仿宋_GB2312" w:hint="eastAsia"/>
          <w:sz w:val="30"/>
          <w:szCs w:val="30"/>
        </w:rPr>
        <w:t>年即已申请“</w:t>
      </w:r>
      <w:r w:rsidR="008E3AEC" w:rsidRPr="008906E9">
        <w:rPr>
          <w:rFonts w:ascii="仿宋_GB2312" w:eastAsia="仿宋_GB2312"/>
          <w:sz w:val="30"/>
          <w:szCs w:val="30"/>
        </w:rPr>
        <w:pict>
          <v:shape id="图片 16" o:spid="_x0000_i1047" type="#_x0000_t75" style="width:42.1pt;height:16.85pt">
            <v:imagedata r:id="rId24" o:title=""/>
          </v:shape>
        </w:pict>
      </w:r>
      <w:r w:rsidRPr="001613C6">
        <w:rPr>
          <w:rFonts w:ascii="仿宋_GB2312" w:eastAsia="仿宋_GB2312" w:hint="eastAsia"/>
          <w:sz w:val="30"/>
          <w:szCs w:val="30"/>
        </w:rPr>
        <w:t>”商标，且当庭确认自提出商标申请即开始使用，截止</w:t>
      </w:r>
      <w:r w:rsidRPr="001613C6">
        <w:rPr>
          <w:rFonts w:ascii="仿宋_GB2312" w:eastAsia="仿宋_GB2312"/>
          <w:sz w:val="30"/>
          <w:szCs w:val="30"/>
        </w:rPr>
        <w:t>2017</w:t>
      </w:r>
      <w:r w:rsidRPr="001613C6">
        <w:rPr>
          <w:rFonts w:ascii="仿宋_GB2312" w:eastAsia="仿宋_GB2312" w:hint="eastAsia"/>
          <w:sz w:val="30"/>
          <w:szCs w:val="30"/>
        </w:rPr>
        <w:t>年，侵权时间持续十余年。</w:t>
      </w:r>
      <w:r w:rsidRPr="001613C6">
        <w:rPr>
          <w:rFonts w:ascii="仿宋_GB2312" w:eastAsia="仿宋_GB2312"/>
          <w:sz w:val="30"/>
          <w:szCs w:val="30"/>
        </w:rPr>
        <w:t>2.</w:t>
      </w:r>
      <w:r w:rsidRPr="001613C6">
        <w:rPr>
          <w:rFonts w:ascii="仿宋_GB2312" w:eastAsia="仿宋_GB2312" w:hint="eastAsia"/>
          <w:sz w:val="30"/>
          <w:szCs w:val="30"/>
        </w:rPr>
        <w:t>水浒公司的生产、经营规模。水浒公司在官方网站中宣传其拥有一流的设计研发和生产能力，具有年生产</w:t>
      </w:r>
      <w:r w:rsidRPr="001613C6">
        <w:rPr>
          <w:rFonts w:ascii="仿宋_GB2312" w:eastAsia="仿宋_GB2312"/>
          <w:sz w:val="30"/>
          <w:szCs w:val="30"/>
        </w:rPr>
        <w:t>30</w:t>
      </w:r>
      <w:r w:rsidRPr="001613C6">
        <w:rPr>
          <w:rFonts w:ascii="仿宋_GB2312" w:eastAsia="仿宋_GB2312" w:hint="eastAsia"/>
          <w:sz w:val="30"/>
          <w:szCs w:val="30"/>
        </w:rPr>
        <w:t>万套两大类别、三大系列近百个规格型号的农用轮胎和</w:t>
      </w:r>
      <w:r w:rsidRPr="001613C6">
        <w:rPr>
          <w:rFonts w:ascii="仿宋_GB2312" w:eastAsia="仿宋_GB2312"/>
          <w:sz w:val="30"/>
          <w:szCs w:val="30"/>
        </w:rPr>
        <w:t>100</w:t>
      </w:r>
      <w:r w:rsidRPr="001613C6">
        <w:rPr>
          <w:rFonts w:ascii="仿宋_GB2312" w:eastAsia="仿宋_GB2312" w:hint="eastAsia"/>
          <w:sz w:val="30"/>
          <w:szCs w:val="30"/>
        </w:rPr>
        <w:t>万套摩托车轮胎的生产能力。水浒公司在庭审中辩称上述宣传具有夸大成分，但未提供其实际生产、销售数量或经营规模的任何证据。水浒公司在商标异议行政诉讼案件中提交的经销合同表明其产品仅三年间的经销总额就达到</w:t>
      </w:r>
      <w:r w:rsidRPr="001613C6">
        <w:rPr>
          <w:rFonts w:ascii="仿宋_GB2312" w:eastAsia="仿宋_GB2312"/>
          <w:sz w:val="30"/>
          <w:szCs w:val="30"/>
        </w:rPr>
        <w:t>6570</w:t>
      </w:r>
      <w:r w:rsidRPr="001613C6">
        <w:rPr>
          <w:rFonts w:ascii="仿宋_GB2312" w:eastAsia="仿宋_GB2312" w:hint="eastAsia"/>
          <w:sz w:val="30"/>
          <w:szCs w:val="30"/>
        </w:rPr>
        <w:t>万元，足以印证其生产、销售规模。</w:t>
      </w:r>
      <w:r w:rsidRPr="001613C6">
        <w:rPr>
          <w:rFonts w:ascii="仿宋_GB2312" w:eastAsia="仿宋_GB2312"/>
          <w:sz w:val="30"/>
          <w:szCs w:val="30"/>
        </w:rPr>
        <w:t>3.</w:t>
      </w:r>
      <w:r w:rsidRPr="001613C6">
        <w:rPr>
          <w:rFonts w:ascii="仿宋_GB2312" w:eastAsia="仿宋_GB2312" w:hint="eastAsia"/>
          <w:sz w:val="30"/>
          <w:szCs w:val="30"/>
        </w:rPr>
        <w:t>涉案两商标知名度以及水浒公司的侵权恶意。普利司通</w:t>
      </w:r>
      <w:r>
        <w:rPr>
          <w:rFonts w:ascii="仿宋_GB2312" w:eastAsia="仿宋_GB2312" w:hint="eastAsia"/>
          <w:sz w:val="30"/>
          <w:szCs w:val="30"/>
        </w:rPr>
        <w:t>公司的</w:t>
      </w:r>
      <w:r w:rsidRPr="001613C6">
        <w:rPr>
          <w:rFonts w:ascii="仿宋_GB2312" w:eastAsia="仿宋_GB2312" w:hint="eastAsia"/>
          <w:sz w:val="30"/>
          <w:szCs w:val="30"/>
        </w:rPr>
        <w:lastRenderedPageBreak/>
        <w:t>轮胎产品至少在上世纪</w:t>
      </w:r>
      <w:r w:rsidRPr="001613C6">
        <w:rPr>
          <w:rFonts w:ascii="仿宋_GB2312" w:eastAsia="仿宋_GB2312"/>
          <w:sz w:val="30"/>
          <w:szCs w:val="30"/>
        </w:rPr>
        <w:t>80</w:t>
      </w:r>
      <w:r w:rsidRPr="001613C6">
        <w:rPr>
          <w:rFonts w:ascii="仿宋_GB2312" w:eastAsia="仿宋_GB2312" w:hint="eastAsia"/>
          <w:sz w:val="30"/>
          <w:szCs w:val="30"/>
        </w:rPr>
        <w:t>年代就进入中国市场，并逐步形成极高的市场知名度。水浒公司申请“</w:t>
      </w:r>
      <w:r w:rsidR="008E3AEC" w:rsidRPr="008906E9">
        <w:rPr>
          <w:rFonts w:ascii="仿宋_GB2312" w:eastAsia="仿宋_GB2312"/>
          <w:sz w:val="30"/>
          <w:szCs w:val="30"/>
        </w:rPr>
        <w:pict>
          <v:shape id="_x0000_i1048" type="#_x0000_t75" style="width:42.1pt;height:16.85pt">
            <v:imagedata r:id="rId24" o:title=""/>
          </v:shape>
        </w:pict>
      </w:r>
      <w:r w:rsidRPr="001613C6">
        <w:rPr>
          <w:rFonts w:ascii="仿宋_GB2312" w:eastAsia="仿宋_GB2312" w:hint="eastAsia"/>
          <w:sz w:val="30"/>
          <w:szCs w:val="30"/>
        </w:rPr>
        <w:t>”商标并加以使用，具有傍名牌的主观故意。而其商标申请于</w:t>
      </w:r>
      <w:r w:rsidRPr="001613C6">
        <w:rPr>
          <w:rFonts w:ascii="仿宋_GB2312" w:eastAsia="仿宋_GB2312"/>
          <w:sz w:val="30"/>
          <w:szCs w:val="30"/>
        </w:rPr>
        <w:t>2013</w:t>
      </w:r>
      <w:r w:rsidRPr="001613C6">
        <w:rPr>
          <w:rFonts w:ascii="仿宋_GB2312" w:eastAsia="仿宋_GB2312" w:hint="eastAsia"/>
          <w:sz w:val="30"/>
          <w:szCs w:val="30"/>
        </w:rPr>
        <w:t>年</w:t>
      </w:r>
      <w:r w:rsidRPr="001613C6">
        <w:rPr>
          <w:rFonts w:ascii="仿宋_GB2312" w:eastAsia="仿宋_GB2312"/>
          <w:sz w:val="30"/>
          <w:szCs w:val="30"/>
        </w:rPr>
        <w:t>11</w:t>
      </w:r>
      <w:r w:rsidRPr="001613C6">
        <w:rPr>
          <w:rFonts w:ascii="仿宋_GB2312" w:eastAsia="仿宋_GB2312" w:hint="eastAsia"/>
          <w:sz w:val="30"/>
          <w:szCs w:val="30"/>
        </w:rPr>
        <w:t>月</w:t>
      </w:r>
      <w:r w:rsidRPr="001613C6">
        <w:rPr>
          <w:rFonts w:ascii="仿宋_GB2312" w:eastAsia="仿宋_GB2312"/>
          <w:sz w:val="30"/>
          <w:szCs w:val="30"/>
        </w:rPr>
        <w:t>25</w:t>
      </w:r>
      <w:r w:rsidRPr="001613C6">
        <w:rPr>
          <w:rFonts w:ascii="仿宋_GB2312" w:eastAsia="仿宋_GB2312" w:hint="eastAsia"/>
          <w:sz w:val="30"/>
          <w:szCs w:val="30"/>
        </w:rPr>
        <w:t>日即已被</w:t>
      </w:r>
      <w:r>
        <w:rPr>
          <w:rFonts w:ascii="仿宋_GB2312" w:eastAsia="仿宋_GB2312" w:hint="eastAsia"/>
          <w:sz w:val="30"/>
          <w:szCs w:val="30"/>
        </w:rPr>
        <w:t>国家</w:t>
      </w:r>
      <w:r w:rsidRPr="001613C6">
        <w:rPr>
          <w:rFonts w:ascii="仿宋_GB2312" w:eastAsia="仿宋_GB2312" w:hint="eastAsia"/>
          <w:sz w:val="30"/>
          <w:szCs w:val="30"/>
        </w:rPr>
        <w:t>商评委认定为与普利司通公司的涉案商标构成近似，不予注册。其后的行政诉讼生效判决再次确认“</w:t>
      </w:r>
      <w:r w:rsidR="008E3AEC" w:rsidRPr="008906E9">
        <w:rPr>
          <w:rFonts w:ascii="仿宋_GB2312" w:eastAsia="仿宋_GB2312"/>
          <w:sz w:val="30"/>
          <w:szCs w:val="30"/>
        </w:rPr>
        <w:pict>
          <v:shape id="_x0000_i1049" type="#_x0000_t75" style="width:42.1pt;height:16.85pt">
            <v:imagedata r:id="rId24" o:title=""/>
          </v:shape>
        </w:pict>
      </w:r>
      <w:r w:rsidRPr="001613C6">
        <w:rPr>
          <w:rFonts w:ascii="仿宋_GB2312" w:eastAsia="仿宋_GB2312" w:hint="eastAsia"/>
          <w:sz w:val="30"/>
          <w:szCs w:val="30"/>
        </w:rPr>
        <w:t>”商标与“普利司通”商标构成相同或类似商品上的近似商标。但水浒公司仍继续使用，故其后续行为构成恶意侵权。对于其后续的恶意侵权行为，在确定侵权赔偿数额时，可施以惩罚性赔偿，加重其赔偿金额。</w:t>
      </w:r>
    </w:p>
    <w:p w:rsidR="00D906DC" w:rsidRPr="001613C6" w:rsidRDefault="00D906DC" w:rsidP="005F3E79">
      <w:pPr>
        <w:adjustRightInd w:val="0"/>
        <w:snapToGrid w:val="0"/>
        <w:spacing w:line="520" w:lineRule="exact"/>
        <w:ind w:firstLineChars="200" w:firstLine="600"/>
        <w:rPr>
          <w:rFonts w:ascii="仿宋_GB2312" w:eastAsia="仿宋_GB2312"/>
          <w:sz w:val="30"/>
          <w:szCs w:val="30"/>
        </w:rPr>
      </w:pPr>
      <w:r w:rsidRPr="001613C6">
        <w:rPr>
          <w:rFonts w:ascii="仿宋_GB2312" w:eastAsia="仿宋_GB2312" w:hint="eastAsia"/>
          <w:sz w:val="30"/>
          <w:szCs w:val="30"/>
        </w:rPr>
        <w:t>普利司通公司为本案维权，从商标异议到行政诉讼，再到本案侵权纠纷，其间必然产生相应的调查费、公证费、律师费等各项费用，故对其主张的</w:t>
      </w:r>
      <w:bookmarkStart w:id="12" w:name="_Hlk32503351"/>
      <w:r w:rsidRPr="001613C6">
        <w:rPr>
          <w:rFonts w:ascii="仿宋_GB2312" w:eastAsia="仿宋_GB2312"/>
          <w:sz w:val="30"/>
          <w:szCs w:val="30"/>
        </w:rPr>
        <w:t>291343</w:t>
      </w:r>
      <w:r w:rsidRPr="001613C6">
        <w:rPr>
          <w:rFonts w:ascii="仿宋_GB2312" w:eastAsia="仿宋_GB2312" w:hint="eastAsia"/>
          <w:sz w:val="30"/>
          <w:szCs w:val="30"/>
        </w:rPr>
        <w:t>元</w:t>
      </w:r>
      <w:bookmarkEnd w:id="12"/>
      <w:r w:rsidRPr="001613C6">
        <w:rPr>
          <w:rFonts w:ascii="仿宋_GB2312" w:eastAsia="仿宋_GB2312" w:hint="eastAsia"/>
          <w:sz w:val="30"/>
          <w:szCs w:val="30"/>
        </w:rPr>
        <w:t>维权合理开支予以全额支持。</w:t>
      </w:r>
    </w:p>
    <w:p w:rsidR="00D906DC" w:rsidRPr="001613C6" w:rsidRDefault="00D906DC" w:rsidP="005F3E79">
      <w:pPr>
        <w:adjustRightInd w:val="0"/>
        <w:snapToGrid w:val="0"/>
        <w:spacing w:line="520" w:lineRule="exact"/>
        <w:ind w:firstLineChars="200" w:firstLine="600"/>
        <w:rPr>
          <w:rFonts w:ascii="仿宋_GB2312" w:eastAsia="仿宋_GB2312"/>
          <w:sz w:val="30"/>
          <w:szCs w:val="30"/>
        </w:rPr>
      </w:pPr>
      <w:r w:rsidRPr="001613C6">
        <w:rPr>
          <w:rFonts w:ascii="仿宋_GB2312" w:eastAsia="仿宋_GB2312" w:hint="eastAsia"/>
          <w:sz w:val="30"/>
          <w:szCs w:val="30"/>
        </w:rPr>
        <w:t>关于丰民汽配应承担的连带赔偿数额，本案出现的“货物运输清单”已足以表明丰民汽配销量较大，且其经营活动具有批发性质，故普利司通公司要求其连带赔偿</w:t>
      </w:r>
      <w:r w:rsidRPr="001613C6">
        <w:rPr>
          <w:rFonts w:ascii="仿宋_GB2312" w:eastAsia="仿宋_GB2312"/>
          <w:sz w:val="30"/>
          <w:szCs w:val="30"/>
        </w:rPr>
        <w:t>10</w:t>
      </w:r>
      <w:r w:rsidRPr="001613C6">
        <w:rPr>
          <w:rFonts w:ascii="仿宋_GB2312" w:eastAsia="仿宋_GB2312" w:hint="eastAsia"/>
          <w:sz w:val="30"/>
          <w:szCs w:val="30"/>
        </w:rPr>
        <w:t>万元在合理范围之内。</w:t>
      </w:r>
    </w:p>
    <w:p w:rsidR="00D906DC" w:rsidRPr="001613C6" w:rsidRDefault="00D906DC" w:rsidP="005F3E79">
      <w:pPr>
        <w:adjustRightInd w:val="0"/>
        <w:snapToGrid w:val="0"/>
        <w:spacing w:line="520" w:lineRule="exact"/>
        <w:ind w:firstLineChars="200" w:firstLine="600"/>
        <w:rPr>
          <w:rFonts w:ascii="仿宋_GB2312" w:eastAsia="仿宋_GB2312"/>
          <w:sz w:val="30"/>
          <w:szCs w:val="30"/>
        </w:rPr>
      </w:pPr>
      <w:r w:rsidRPr="001613C6">
        <w:rPr>
          <w:rFonts w:ascii="仿宋_GB2312" w:eastAsia="仿宋_GB2312" w:hint="eastAsia"/>
          <w:sz w:val="30"/>
          <w:szCs w:val="30"/>
        </w:rPr>
        <w:t>综上，一审法院判决：一、水浒公司、丰民汽配立即停止涉案侵害普利司通公司第</w:t>
      </w:r>
      <w:r w:rsidRPr="001613C6">
        <w:rPr>
          <w:rFonts w:ascii="仿宋_GB2312" w:eastAsia="仿宋_GB2312"/>
          <w:sz w:val="30"/>
          <w:szCs w:val="30"/>
        </w:rPr>
        <w:t>382697</w:t>
      </w:r>
      <w:r w:rsidRPr="001613C6">
        <w:rPr>
          <w:rFonts w:ascii="仿宋_GB2312" w:eastAsia="仿宋_GB2312" w:hint="eastAsia"/>
          <w:sz w:val="30"/>
          <w:szCs w:val="30"/>
        </w:rPr>
        <w:t>号“</w:t>
      </w:r>
      <w:r w:rsidR="008E3AEC" w:rsidRPr="008906E9">
        <w:rPr>
          <w:rFonts w:ascii="仿宋_GB2312" w:eastAsia="仿宋_GB2312"/>
          <w:sz w:val="30"/>
          <w:szCs w:val="30"/>
        </w:rPr>
        <w:pict>
          <v:shape id="图片 20" o:spid="_x0000_i1050" type="#_x0000_t75" style="width:47.7pt;height:16.85pt">
            <v:imagedata r:id="rId23" o:title=""/>
          </v:shape>
        </w:pict>
      </w:r>
      <w:r w:rsidRPr="001613C6">
        <w:rPr>
          <w:rFonts w:ascii="仿宋_GB2312" w:eastAsia="仿宋_GB2312" w:hint="eastAsia"/>
          <w:sz w:val="30"/>
          <w:szCs w:val="30"/>
        </w:rPr>
        <w:t>”、第</w:t>
      </w:r>
      <w:r w:rsidRPr="001613C6">
        <w:rPr>
          <w:rFonts w:ascii="仿宋_GB2312" w:eastAsia="仿宋_GB2312"/>
          <w:sz w:val="30"/>
          <w:szCs w:val="30"/>
        </w:rPr>
        <w:t>1424390</w:t>
      </w:r>
      <w:r w:rsidRPr="001613C6">
        <w:rPr>
          <w:rFonts w:ascii="仿宋_GB2312" w:eastAsia="仿宋_GB2312" w:hint="eastAsia"/>
          <w:sz w:val="30"/>
          <w:szCs w:val="30"/>
        </w:rPr>
        <w:t>号“</w:t>
      </w:r>
      <w:r w:rsidR="008E3AEC" w:rsidRPr="008906E9">
        <w:rPr>
          <w:rFonts w:ascii="仿宋_GB2312" w:eastAsia="仿宋_GB2312"/>
          <w:sz w:val="30"/>
          <w:szCs w:val="30"/>
        </w:rPr>
        <w:pict>
          <v:shape id="图片 21" o:spid="_x0000_i1051" type="#_x0000_t75" style="width:47.7pt;height:16.85pt">
            <v:imagedata r:id="rId23" o:title=""/>
          </v:shape>
        </w:pict>
      </w:r>
      <w:r w:rsidRPr="001613C6">
        <w:rPr>
          <w:rFonts w:ascii="仿宋_GB2312" w:eastAsia="仿宋_GB2312" w:hint="eastAsia"/>
          <w:sz w:val="30"/>
          <w:szCs w:val="30"/>
        </w:rPr>
        <w:t>”注册商标专用权行为；二、水浒公司于判决生效之日起十五日内赔偿普利司通公司经济损失及维权合理开支共计人民币</w:t>
      </w:r>
      <w:r w:rsidRPr="001613C6">
        <w:rPr>
          <w:rFonts w:ascii="仿宋_GB2312" w:eastAsia="仿宋_GB2312"/>
          <w:sz w:val="30"/>
          <w:szCs w:val="30"/>
        </w:rPr>
        <w:t>3291343</w:t>
      </w:r>
      <w:r w:rsidRPr="001613C6">
        <w:rPr>
          <w:rFonts w:ascii="仿宋_GB2312" w:eastAsia="仿宋_GB2312" w:hint="eastAsia"/>
          <w:sz w:val="30"/>
          <w:szCs w:val="30"/>
        </w:rPr>
        <w:t>元，丰民汽配在</w:t>
      </w:r>
      <w:r w:rsidRPr="001613C6">
        <w:rPr>
          <w:rFonts w:ascii="仿宋_GB2312" w:eastAsia="仿宋_GB2312"/>
          <w:sz w:val="30"/>
          <w:szCs w:val="30"/>
        </w:rPr>
        <w:t>10</w:t>
      </w:r>
      <w:r w:rsidRPr="001613C6">
        <w:rPr>
          <w:rFonts w:ascii="仿宋_GB2312" w:eastAsia="仿宋_GB2312" w:hint="eastAsia"/>
          <w:sz w:val="30"/>
          <w:szCs w:val="30"/>
        </w:rPr>
        <w:t>万元范围内承担连带赔偿责任。</w:t>
      </w:r>
    </w:p>
    <w:p w:rsidR="00D906DC" w:rsidRPr="001613C6" w:rsidRDefault="00D906DC" w:rsidP="005F3E79">
      <w:pPr>
        <w:adjustRightInd w:val="0"/>
        <w:snapToGrid w:val="0"/>
        <w:spacing w:line="520" w:lineRule="exact"/>
        <w:ind w:firstLineChars="200" w:firstLine="600"/>
        <w:rPr>
          <w:rFonts w:ascii="仿宋_GB2312" w:eastAsia="仿宋_GB2312"/>
          <w:sz w:val="30"/>
          <w:szCs w:val="30"/>
        </w:rPr>
      </w:pPr>
      <w:r w:rsidRPr="001613C6">
        <w:rPr>
          <w:rFonts w:ascii="仿宋_GB2312" w:eastAsia="仿宋_GB2312" w:hint="eastAsia"/>
          <w:sz w:val="30"/>
          <w:szCs w:val="30"/>
        </w:rPr>
        <w:t>一审判决后，水浒公司向江苏高院</w:t>
      </w:r>
      <w:r>
        <w:rPr>
          <w:rFonts w:ascii="仿宋_GB2312" w:eastAsia="仿宋_GB2312" w:hint="eastAsia"/>
          <w:sz w:val="30"/>
          <w:szCs w:val="30"/>
        </w:rPr>
        <w:t>提起上诉</w:t>
      </w:r>
      <w:r w:rsidRPr="001613C6">
        <w:rPr>
          <w:rFonts w:ascii="仿宋_GB2312" w:eastAsia="仿宋_GB2312" w:hint="eastAsia"/>
          <w:sz w:val="30"/>
          <w:szCs w:val="30"/>
        </w:rPr>
        <w:t>。因水浒公司未缴纳上诉费，二审按自动撤回上诉处理。</w:t>
      </w:r>
    </w:p>
    <w:p w:rsidR="00D906DC" w:rsidRPr="001613C6" w:rsidRDefault="00D906DC" w:rsidP="005F3E79">
      <w:pPr>
        <w:adjustRightInd w:val="0"/>
        <w:snapToGrid w:val="0"/>
        <w:spacing w:line="520" w:lineRule="exact"/>
        <w:ind w:firstLineChars="200" w:firstLine="602"/>
        <w:rPr>
          <w:rFonts w:ascii="仿宋_GB2312" w:eastAsia="仿宋_GB2312"/>
          <w:b/>
          <w:bCs/>
          <w:sz w:val="30"/>
          <w:szCs w:val="30"/>
        </w:rPr>
      </w:pPr>
      <w:r w:rsidRPr="001613C6">
        <w:rPr>
          <w:rFonts w:ascii="仿宋_GB2312" w:eastAsia="仿宋_GB2312" w:hint="eastAsia"/>
          <w:b/>
          <w:bCs/>
          <w:sz w:val="30"/>
          <w:szCs w:val="30"/>
        </w:rPr>
        <w:t>【典型意义】</w:t>
      </w:r>
    </w:p>
    <w:p w:rsidR="00D906DC" w:rsidRPr="001613C6" w:rsidRDefault="00D906DC" w:rsidP="005F3E79">
      <w:pPr>
        <w:adjustRightInd w:val="0"/>
        <w:snapToGrid w:val="0"/>
        <w:spacing w:line="520" w:lineRule="exact"/>
        <w:ind w:firstLineChars="200" w:firstLine="600"/>
        <w:rPr>
          <w:rFonts w:ascii="仿宋_GB2312" w:eastAsia="仿宋_GB2312"/>
          <w:sz w:val="30"/>
          <w:szCs w:val="30"/>
        </w:rPr>
      </w:pPr>
      <w:bookmarkStart w:id="13" w:name="_Hlk32503651"/>
      <w:r w:rsidRPr="001613C6">
        <w:rPr>
          <w:rFonts w:ascii="仿宋_GB2312" w:eastAsia="仿宋_GB2312" w:hint="eastAsia"/>
          <w:sz w:val="30"/>
          <w:szCs w:val="30"/>
        </w:rPr>
        <w:t>本案是</w:t>
      </w:r>
      <w:r>
        <w:rPr>
          <w:rFonts w:ascii="仿宋_GB2312" w:eastAsia="仿宋_GB2312" w:hint="eastAsia"/>
          <w:sz w:val="30"/>
          <w:szCs w:val="30"/>
        </w:rPr>
        <w:t>侵权人</w:t>
      </w:r>
      <w:r w:rsidRPr="001613C6">
        <w:rPr>
          <w:rFonts w:ascii="仿宋_GB2312" w:eastAsia="仿宋_GB2312" w:hint="eastAsia"/>
          <w:sz w:val="30"/>
          <w:szCs w:val="30"/>
        </w:rPr>
        <w:t>恶意注册与国际知名品牌相近似的商标并生产、销售侵权产品的一起典型案例</w:t>
      </w:r>
      <w:bookmarkEnd w:id="13"/>
      <w:r w:rsidRPr="001613C6">
        <w:rPr>
          <w:rFonts w:ascii="仿宋_GB2312" w:eastAsia="仿宋_GB2312" w:hint="eastAsia"/>
          <w:sz w:val="30"/>
          <w:szCs w:val="30"/>
        </w:rPr>
        <w:t>。本案判决有力制止和惩治了违反诚信原</w:t>
      </w:r>
      <w:r w:rsidRPr="001613C6">
        <w:rPr>
          <w:rFonts w:ascii="仿宋_GB2312" w:eastAsia="仿宋_GB2312" w:hint="eastAsia"/>
          <w:sz w:val="30"/>
          <w:szCs w:val="30"/>
        </w:rPr>
        <w:lastRenderedPageBreak/>
        <w:t>则，攀附知名品牌，恶意注册与使用与其相近似商标牟取非法利益的违法行为，规范了市场主体的经营行为，体现了最严格保护知识产权的价值导向。其</w:t>
      </w:r>
      <w:r>
        <w:rPr>
          <w:rFonts w:ascii="仿宋_GB2312" w:eastAsia="仿宋_GB2312" w:hint="eastAsia"/>
          <w:sz w:val="30"/>
          <w:szCs w:val="30"/>
        </w:rPr>
        <w:t>典型性还</w:t>
      </w:r>
      <w:r w:rsidRPr="001613C6">
        <w:rPr>
          <w:rFonts w:ascii="仿宋_GB2312" w:eastAsia="仿宋_GB2312" w:hint="eastAsia"/>
          <w:sz w:val="30"/>
          <w:szCs w:val="30"/>
        </w:rPr>
        <w:t>在于全面审查并认定了侵权人的主观恶意，并据此确定惩罚性赔偿数额，具体表现为：</w:t>
      </w:r>
    </w:p>
    <w:p w:rsidR="00D906DC" w:rsidRPr="001613C6" w:rsidRDefault="00D906DC" w:rsidP="005F3E79">
      <w:pPr>
        <w:adjustRightInd w:val="0"/>
        <w:snapToGrid w:val="0"/>
        <w:spacing w:line="520" w:lineRule="exact"/>
        <w:ind w:firstLineChars="200" w:firstLine="600"/>
        <w:rPr>
          <w:rFonts w:ascii="仿宋_GB2312" w:eastAsia="仿宋_GB2312"/>
          <w:sz w:val="30"/>
          <w:szCs w:val="30"/>
        </w:rPr>
      </w:pPr>
      <w:r w:rsidRPr="001613C6">
        <w:rPr>
          <w:rFonts w:ascii="仿宋_GB2312" w:eastAsia="仿宋_GB2312"/>
          <w:sz w:val="30"/>
          <w:szCs w:val="30"/>
        </w:rPr>
        <w:t>1.</w:t>
      </w:r>
      <w:r w:rsidRPr="001613C6">
        <w:rPr>
          <w:rFonts w:ascii="仿宋_GB2312" w:eastAsia="仿宋_GB2312" w:hint="eastAsia"/>
          <w:sz w:val="30"/>
          <w:szCs w:val="30"/>
        </w:rPr>
        <w:t>关于生产商与销售商恶意侵权的认定。法院考虑到：普利司通</w:t>
      </w:r>
      <w:r>
        <w:rPr>
          <w:rFonts w:ascii="仿宋_GB2312" w:eastAsia="仿宋_GB2312" w:hint="eastAsia"/>
          <w:sz w:val="30"/>
          <w:szCs w:val="30"/>
        </w:rPr>
        <w:t>公司的</w:t>
      </w:r>
      <w:r w:rsidRPr="001613C6">
        <w:rPr>
          <w:rFonts w:ascii="仿宋_GB2312" w:eastAsia="仿宋_GB2312" w:hint="eastAsia"/>
          <w:sz w:val="30"/>
          <w:szCs w:val="30"/>
        </w:rPr>
        <w:t>轮胎产品至少在上世纪</w:t>
      </w:r>
      <w:r w:rsidRPr="001613C6">
        <w:rPr>
          <w:rFonts w:ascii="仿宋_GB2312" w:eastAsia="仿宋_GB2312"/>
          <w:sz w:val="30"/>
          <w:szCs w:val="30"/>
        </w:rPr>
        <w:t>80</w:t>
      </w:r>
      <w:r w:rsidRPr="001613C6">
        <w:rPr>
          <w:rFonts w:ascii="仿宋_GB2312" w:eastAsia="仿宋_GB2312" w:hint="eastAsia"/>
          <w:sz w:val="30"/>
          <w:szCs w:val="30"/>
        </w:rPr>
        <w:t>年代就进入中国市场，其品牌具有极高知名度。水浒公司作为同业经营者却于</w:t>
      </w:r>
      <w:r w:rsidRPr="001613C6">
        <w:rPr>
          <w:rFonts w:ascii="仿宋_GB2312" w:eastAsia="仿宋_GB2312"/>
          <w:sz w:val="30"/>
          <w:szCs w:val="30"/>
        </w:rPr>
        <w:t>2004</w:t>
      </w:r>
      <w:r w:rsidRPr="001613C6">
        <w:rPr>
          <w:rFonts w:ascii="仿宋_GB2312" w:eastAsia="仿宋_GB2312" w:hint="eastAsia"/>
          <w:sz w:val="30"/>
          <w:szCs w:val="30"/>
        </w:rPr>
        <w:t>年申请注册与其近似商标“</w:t>
      </w:r>
      <w:r w:rsidR="008E3AEC" w:rsidRPr="008906E9">
        <w:rPr>
          <w:rFonts w:ascii="仿宋_GB2312" w:eastAsia="仿宋_GB2312"/>
          <w:sz w:val="30"/>
          <w:szCs w:val="30"/>
        </w:rPr>
        <w:pict>
          <v:shape id="_x0000_i1052" type="#_x0000_t75" style="width:42.1pt;height:16.85pt">
            <v:imagedata r:id="rId24" o:title=""/>
          </v:shape>
        </w:pict>
      </w:r>
      <w:r w:rsidRPr="001613C6">
        <w:rPr>
          <w:rFonts w:ascii="仿宋_GB2312" w:eastAsia="仿宋_GB2312" w:hint="eastAsia"/>
          <w:sz w:val="30"/>
          <w:szCs w:val="30"/>
        </w:rPr>
        <w:t>”并加以使用。在该商标申请经</w:t>
      </w:r>
      <w:r>
        <w:rPr>
          <w:rFonts w:ascii="仿宋_GB2312" w:eastAsia="仿宋_GB2312" w:hint="eastAsia"/>
          <w:sz w:val="30"/>
          <w:szCs w:val="30"/>
        </w:rPr>
        <w:t>国家</w:t>
      </w:r>
      <w:r w:rsidRPr="001613C6">
        <w:rPr>
          <w:rFonts w:ascii="仿宋_GB2312" w:eastAsia="仿宋_GB2312" w:hint="eastAsia"/>
          <w:sz w:val="30"/>
          <w:szCs w:val="30"/>
        </w:rPr>
        <w:t>商标局审查、</w:t>
      </w:r>
      <w:r>
        <w:rPr>
          <w:rFonts w:ascii="仿宋_GB2312" w:eastAsia="仿宋_GB2312" w:hint="eastAsia"/>
          <w:sz w:val="30"/>
          <w:szCs w:val="30"/>
        </w:rPr>
        <w:t>国家</w:t>
      </w:r>
      <w:r w:rsidRPr="001613C6">
        <w:rPr>
          <w:rFonts w:ascii="仿宋_GB2312" w:eastAsia="仿宋_GB2312" w:hint="eastAsia"/>
          <w:sz w:val="30"/>
          <w:szCs w:val="30"/>
        </w:rPr>
        <w:t>商评委复审以及北京法院两审行政诉讼过程中，乃至最终被认定为与权利人注册商标构成近似而不予注册后，水浒公司</w:t>
      </w:r>
      <w:r>
        <w:rPr>
          <w:rFonts w:ascii="仿宋_GB2312" w:eastAsia="仿宋_GB2312" w:hint="eastAsia"/>
          <w:sz w:val="30"/>
          <w:szCs w:val="30"/>
        </w:rPr>
        <w:t>一直</w:t>
      </w:r>
      <w:r w:rsidRPr="001613C6">
        <w:rPr>
          <w:rFonts w:ascii="仿宋_GB2312" w:eastAsia="仿宋_GB2312" w:hint="eastAsia"/>
          <w:sz w:val="30"/>
          <w:szCs w:val="30"/>
        </w:rPr>
        <w:t>持续使用其商标，故其申请及使用行为</w:t>
      </w:r>
      <w:r>
        <w:rPr>
          <w:rFonts w:ascii="仿宋_GB2312" w:eastAsia="仿宋_GB2312" w:hint="eastAsia"/>
          <w:sz w:val="30"/>
          <w:szCs w:val="30"/>
        </w:rPr>
        <w:t>存在</w:t>
      </w:r>
      <w:r w:rsidRPr="001613C6">
        <w:rPr>
          <w:rFonts w:ascii="仿宋_GB2312" w:eastAsia="仿宋_GB2312" w:hint="eastAsia"/>
          <w:sz w:val="30"/>
          <w:szCs w:val="30"/>
        </w:rPr>
        <w:t>恶意。同时判决从轮胎销售商对经营高知名度商品应有较高注意义务</w:t>
      </w:r>
      <w:r>
        <w:rPr>
          <w:rFonts w:ascii="仿宋_GB2312" w:eastAsia="仿宋_GB2312" w:hint="eastAsia"/>
          <w:sz w:val="30"/>
          <w:szCs w:val="30"/>
        </w:rPr>
        <w:t>的角度</w:t>
      </w:r>
      <w:r w:rsidRPr="001613C6">
        <w:rPr>
          <w:rFonts w:ascii="仿宋_GB2312" w:eastAsia="仿宋_GB2312" w:hint="eastAsia"/>
          <w:sz w:val="30"/>
          <w:szCs w:val="30"/>
        </w:rPr>
        <w:t>，将侵权产品与正品混杂销售认定为明知侵权而销售，否认了其合法来源抗辩。针对上述明显严重的侵权恶意，判决在确定侵权赔偿数额时，适用了惩罚性赔偿，以显著加重侵权人的违法成本。</w:t>
      </w:r>
    </w:p>
    <w:p w:rsidR="00D906DC" w:rsidRPr="001613C6" w:rsidRDefault="00D906DC" w:rsidP="005F3E79">
      <w:pPr>
        <w:adjustRightInd w:val="0"/>
        <w:snapToGrid w:val="0"/>
        <w:spacing w:line="520" w:lineRule="exact"/>
        <w:ind w:firstLineChars="200" w:firstLine="600"/>
        <w:rPr>
          <w:rFonts w:ascii="仿宋_GB2312" w:eastAsia="仿宋_GB2312"/>
          <w:sz w:val="30"/>
          <w:szCs w:val="30"/>
        </w:rPr>
      </w:pPr>
      <w:r w:rsidRPr="001613C6">
        <w:rPr>
          <w:rFonts w:ascii="仿宋_GB2312" w:eastAsia="仿宋_GB2312"/>
          <w:sz w:val="30"/>
          <w:szCs w:val="30"/>
        </w:rPr>
        <w:t>2.</w:t>
      </w:r>
      <w:r w:rsidRPr="001613C6">
        <w:rPr>
          <w:rFonts w:ascii="仿宋_GB2312" w:eastAsia="仿宋_GB2312" w:hint="eastAsia"/>
          <w:sz w:val="30"/>
          <w:szCs w:val="30"/>
        </w:rPr>
        <w:t>在确定赔偿时确立了以下规则：一是侵权人</w:t>
      </w:r>
      <w:r>
        <w:rPr>
          <w:rFonts w:ascii="仿宋_GB2312" w:eastAsia="仿宋_GB2312" w:hint="eastAsia"/>
          <w:sz w:val="30"/>
          <w:szCs w:val="30"/>
        </w:rPr>
        <w:t>在其</w:t>
      </w:r>
      <w:r w:rsidRPr="001613C6">
        <w:rPr>
          <w:rFonts w:ascii="仿宋_GB2312" w:eastAsia="仿宋_GB2312" w:hint="eastAsia"/>
          <w:sz w:val="30"/>
          <w:szCs w:val="30"/>
        </w:rPr>
        <w:t>对外宣传的业绩信息</w:t>
      </w:r>
      <w:r>
        <w:rPr>
          <w:rFonts w:ascii="仿宋_GB2312" w:eastAsia="仿宋_GB2312" w:hint="eastAsia"/>
          <w:sz w:val="30"/>
          <w:szCs w:val="30"/>
        </w:rPr>
        <w:t>具</w:t>
      </w:r>
      <w:r w:rsidRPr="001613C6">
        <w:rPr>
          <w:rFonts w:ascii="仿宋_GB2312" w:eastAsia="仿宋_GB2312" w:hint="eastAsia"/>
          <w:sz w:val="30"/>
          <w:szCs w:val="30"/>
        </w:rPr>
        <w:t>有一定基础事实印证的情形下，</w:t>
      </w:r>
      <w:r>
        <w:rPr>
          <w:rFonts w:ascii="仿宋_GB2312" w:eastAsia="仿宋_GB2312" w:hint="eastAsia"/>
          <w:sz w:val="30"/>
          <w:szCs w:val="30"/>
        </w:rPr>
        <w:t>若对该宣传内容予以否认，需负</w:t>
      </w:r>
      <w:r w:rsidRPr="001613C6">
        <w:rPr>
          <w:rFonts w:ascii="仿宋_GB2312" w:eastAsia="仿宋_GB2312" w:hint="eastAsia"/>
          <w:sz w:val="30"/>
          <w:szCs w:val="30"/>
        </w:rPr>
        <w:t>有信息披露义务，提供其实际生产、销售数量的证据，在其举证不能的情况下，可以作出对侵权人不利的推定。二是在</w:t>
      </w:r>
      <w:r>
        <w:rPr>
          <w:rFonts w:ascii="仿宋_GB2312" w:eastAsia="仿宋_GB2312" w:hint="eastAsia"/>
          <w:sz w:val="30"/>
          <w:szCs w:val="30"/>
        </w:rPr>
        <w:t>侵权人恶意申请注册商标的情况下，</w:t>
      </w:r>
      <w:r w:rsidRPr="001613C6">
        <w:rPr>
          <w:rFonts w:ascii="仿宋_GB2312" w:eastAsia="仿宋_GB2312" w:hint="eastAsia"/>
          <w:sz w:val="30"/>
          <w:szCs w:val="30"/>
        </w:rPr>
        <w:t>确定权利人合理维权费用时，</w:t>
      </w:r>
      <w:r>
        <w:rPr>
          <w:rFonts w:ascii="仿宋_GB2312" w:eastAsia="仿宋_GB2312" w:hint="eastAsia"/>
          <w:sz w:val="30"/>
          <w:szCs w:val="30"/>
        </w:rPr>
        <w:t>延伸考量了</w:t>
      </w:r>
      <w:r w:rsidRPr="001613C6">
        <w:rPr>
          <w:rFonts w:ascii="仿宋_GB2312" w:eastAsia="仿宋_GB2312" w:hint="eastAsia"/>
          <w:sz w:val="30"/>
          <w:szCs w:val="30"/>
        </w:rPr>
        <w:t>权利人在本案诉讼之外的其他维权活动，全面考虑了权利人在商标异议、无效行政审查等程序中必然产生的维权费用，因而对权利人主张的合理维权费用予以全额支持。</w:t>
      </w:r>
    </w:p>
    <w:p w:rsidR="00D906DC" w:rsidRPr="001613C6" w:rsidRDefault="00D906DC" w:rsidP="005F3E79">
      <w:pPr>
        <w:adjustRightInd w:val="0"/>
        <w:snapToGrid w:val="0"/>
        <w:spacing w:line="520" w:lineRule="exact"/>
        <w:ind w:firstLineChars="200" w:firstLine="600"/>
        <w:rPr>
          <w:rFonts w:ascii="仿宋_GB2312" w:eastAsia="仿宋_GB2312"/>
          <w:sz w:val="30"/>
          <w:szCs w:val="30"/>
        </w:rPr>
      </w:pPr>
      <w:r w:rsidRPr="001613C6">
        <w:rPr>
          <w:rFonts w:ascii="仿宋_GB2312" w:eastAsia="仿宋_GB2312" w:hint="eastAsia"/>
          <w:sz w:val="30"/>
          <w:szCs w:val="30"/>
        </w:rPr>
        <w:t>本案判决</w:t>
      </w:r>
      <w:r>
        <w:rPr>
          <w:rFonts w:ascii="仿宋_GB2312" w:eastAsia="仿宋_GB2312" w:hint="eastAsia"/>
          <w:sz w:val="30"/>
          <w:szCs w:val="30"/>
        </w:rPr>
        <w:t>反映</w:t>
      </w:r>
      <w:r w:rsidRPr="001613C6">
        <w:rPr>
          <w:rFonts w:ascii="仿宋_GB2312" w:eastAsia="仿宋_GB2312" w:hint="eastAsia"/>
          <w:sz w:val="30"/>
          <w:szCs w:val="30"/>
        </w:rPr>
        <w:t>了中国法院加强保护与平等保护知识产权的鲜明态</w:t>
      </w:r>
      <w:r w:rsidRPr="001613C6">
        <w:rPr>
          <w:rFonts w:ascii="仿宋_GB2312" w:eastAsia="仿宋_GB2312" w:hint="eastAsia"/>
          <w:sz w:val="30"/>
          <w:szCs w:val="30"/>
        </w:rPr>
        <w:lastRenderedPageBreak/>
        <w:t>度，对于营造良好的营商环境产生了积极效果。判决生效后，普利司通</w:t>
      </w:r>
      <w:r>
        <w:rPr>
          <w:rFonts w:ascii="仿宋_GB2312" w:eastAsia="仿宋_GB2312" w:hint="eastAsia"/>
          <w:sz w:val="30"/>
          <w:szCs w:val="30"/>
        </w:rPr>
        <w:t>公司</w:t>
      </w:r>
      <w:r w:rsidRPr="001613C6">
        <w:rPr>
          <w:rFonts w:ascii="仿宋_GB2312" w:eastAsia="仿宋_GB2312" w:hint="eastAsia"/>
          <w:sz w:val="30"/>
          <w:szCs w:val="30"/>
        </w:rPr>
        <w:t>特意向一审法院寄来感谢信，称本案的审理体现了中国日益严格的知识产权保护趋势，增强了外商在中国投资的信心。</w:t>
      </w:r>
    </w:p>
    <w:p w:rsidR="00D906DC" w:rsidRPr="008443EC" w:rsidRDefault="00D906DC" w:rsidP="00E711DA">
      <w:pPr>
        <w:pStyle w:val="1"/>
      </w:pPr>
      <w:r>
        <w:br w:type="page"/>
      </w:r>
      <w:bookmarkStart w:id="14" w:name="_Toc38029053"/>
      <w:r>
        <w:lastRenderedPageBreak/>
        <w:t>6</w:t>
      </w:r>
      <w:r w:rsidRPr="008443EC">
        <w:t>.</w:t>
      </w:r>
      <w:r w:rsidRPr="008443EC">
        <w:rPr>
          <w:rFonts w:hint="eastAsia"/>
        </w:rPr>
        <w:t>涉“鬼吹灯”知名商品特有名称认定</w:t>
      </w:r>
      <w:r>
        <w:rPr>
          <w:rFonts w:hint="eastAsia"/>
        </w:rPr>
        <w:t>及权益</w:t>
      </w:r>
      <w:r w:rsidRPr="008443EC">
        <w:rPr>
          <w:rFonts w:hint="eastAsia"/>
        </w:rPr>
        <w:t>归属的不正当竞争案</w:t>
      </w:r>
      <w:bookmarkEnd w:id="14"/>
    </w:p>
    <w:p w:rsidR="00D906DC" w:rsidRDefault="00D906DC" w:rsidP="00E711DA">
      <w:pPr>
        <w:pStyle w:val="2"/>
      </w:pPr>
      <w:bookmarkStart w:id="15" w:name="_Toc38029054"/>
      <w:r>
        <w:t>——</w:t>
      </w:r>
      <w:r w:rsidRPr="007D6200">
        <w:rPr>
          <w:rFonts w:hint="eastAsia"/>
        </w:rPr>
        <w:t>上海玄霆娱乐信息科技有限公司徐州分公司诉张牧野等不正当竞争</w:t>
      </w:r>
      <w:r>
        <w:rPr>
          <w:rFonts w:hint="eastAsia"/>
        </w:rPr>
        <w:t>纠纷</w:t>
      </w:r>
      <w:r w:rsidRPr="007D6200">
        <w:rPr>
          <w:rFonts w:hint="eastAsia"/>
        </w:rPr>
        <w:t>案</w:t>
      </w:r>
      <w:bookmarkEnd w:id="15"/>
    </w:p>
    <w:p w:rsidR="00D906DC" w:rsidRPr="008443EC" w:rsidRDefault="00D906DC" w:rsidP="00E711DA">
      <w:pPr>
        <w:adjustRightInd w:val="0"/>
        <w:snapToGrid w:val="0"/>
        <w:spacing w:line="520" w:lineRule="exact"/>
        <w:rPr>
          <w:rFonts w:ascii="仿宋_GB2312" w:eastAsia="仿宋_GB2312"/>
          <w:sz w:val="30"/>
          <w:szCs w:val="30"/>
        </w:rPr>
      </w:pPr>
    </w:p>
    <w:p w:rsidR="00D906DC" w:rsidRPr="007D6200" w:rsidRDefault="00D906DC" w:rsidP="005F3E79">
      <w:pPr>
        <w:adjustRightInd w:val="0"/>
        <w:snapToGrid w:val="0"/>
        <w:spacing w:line="520" w:lineRule="exact"/>
        <w:ind w:firstLineChars="200" w:firstLine="602"/>
        <w:rPr>
          <w:rFonts w:ascii="仿宋_GB2312" w:eastAsia="仿宋_GB2312"/>
          <w:b/>
          <w:bCs/>
          <w:sz w:val="30"/>
          <w:szCs w:val="30"/>
        </w:rPr>
      </w:pPr>
      <w:r w:rsidRPr="007D6200">
        <w:rPr>
          <w:rFonts w:ascii="仿宋_GB2312" w:eastAsia="仿宋_GB2312" w:hint="eastAsia"/>
          <w:b/>
          <w:bCs/>
          <w:sz w:val="30"/>
          <w:szCs w:val="30"/>
        </w:rPr>
        <w:t>【案件信息】</w:t>
      </w:r>
    </w:p>
    <w:p w:rsidR="00D906DC" w:rsidRPr="008443EC" w:rsidRDefault="00D906DC" w:rsidP="005F3E79">
      <w:pPr>
        <w:adjustRightInd w:val="0"/>
        <w:snapToGrid w:val="0"/>
        <w:spacing w:line="520" w:lineRule="exact"/>
        <w:ind w:firstLineChars="200" w:firstLine="600"/>
        <w:rPr>
          <w:rFonts w:ascii="仿宋_GB2312" w:eastAsia="仿宋_GB2312"/>
          <w:sz w:val="30"/>
          <w:szCs w:val="30"/>
        </w:rPr>
      </w:pPr>
      <w:r w:rsidRPr="008443EC">
        <w:rPr>
          <w:rFonts w:ascii="仿宋_GB2312" w:eastAsia="仿宋_GB2312" w:hint="eastAsia"/>
          <w:sz w:val="30"/>
          <w:szCs w:val="30"/>
        </w:rPr>
        <w:t>案号：徐州中院（</w:t>
      </w:r>
      <w:r w:rsidRPr="008443EC">
        <w:rPr>
          <w:rFonts w:ascii="仿宋_GB2312" w:eastAsia="仿宋_GB2312"/>
          <w:sz w:val="30"/>
          <w:szCs w:val="30"/>
        </w:rPr>
        <w:t>2017</w:t>
      </w:r>
      <w:r w:rsidRPr="008443EC">
        <w:rPr>
          <w:rFonts w:ascii="仿宋_GB2312" w:eastAsia="仿宋_GB2312" w:hint="eastAsia"/>
          <w:sz w:val="30"/>
          <w:szCs w:val="30"/>
        </w:rPr>
        <w:t>）苏</w:t>
      </w:r>
      <w:r w:rsidRPr="008443EC">
        <w:rPr>
          <w:rFonts w:ascii="仿宋_GB2312" w:eastAsia="仿宋_GB2312"/>
          <w:sz w:val="30"/>
          <w:szCs w:val="30"/>
        </w:rPr>
        <w:t>03</w:t>
      </w:r>
      <w:r w:rsidRPr="008443EC">
        <w:rPr>
          <w:rFonts w:ascii="仿宋_GB2312" w:eastAsia="仿宋_GB2312" w:hint="eastAsia"/>
          <w:sz w:val="30"/>
          <w:szCs w:val="30"/>
        </w:rPr>
        <w:t>民初</w:t>
      </w:r>
      <w:r w:rsidRPr="008443EC">
        <w:rPr>
          <w:rFonts w:ascii="仿宋_GB2312" w:eastAsia="仿宋_GB2312"/>
          <w:sz w:val="30"/>
          <w:szCs w:val="30"/>
        </w:rPr>
        <w:t>27</w:t>
      </w:r>
      <w:r w:rsidRPr="008443EC">
        <w:rPr>
          <w:rFonts w:ascii="仿宋_GB2312" w:eastAsia="仿宋_GB2312" w:hint="eastAsia"/>
          <w:sz w:val="30"/>
          <w:szCs w:val="30"/>
        </w:rPr>
        <w:t>号</w:t>
      </w:r>
    </w:p>
    <w:p w:rsidR="00D906DC" w:rsidRPr="008443EC" w:rsidRDefault="00D906DC" w:rsidP="005F3E79">
      <w:pPr>
        <w:adjustRightInd w:val="0"/>
        <w:snapToGrid w:val="0"/>
        <w:spacing w:line="520" w:lineRule="exact"/>
        <w:ind w:firstLineChars="500" w:firstLine="1500"/>
        <w:rPr>
          <w:rFonts w:ascii="仿宋_GB2312" w:eastAsia="仿宋_GB2312"/>
          <w:sz w:val="30"/>
          <w:szCs w:val="30"/>
        </w:rPr>
      </w:pPr>
      <w:r w:rsidRPr="008443EC">
        <w:rPr>
          <w:rFonts w:ascii="仿宋_GB2312" w:eastAsia="仿宋_GB2312" w:hint="eastAsia"/>
          <w:sz w:val="30"/>
          <w:szCs w:val="30"/>
        </w:rPr>
        <w:t>江苏高院（</w:t>
      </w:r>
      <w:r w:rsidRPr="008443EC">
        <w:rPr>
          <w:rFonts w:ascii="仿宋_GB2312" w:eastAsia="仿宋_GB2312"/>
          <w:sz w:val="30"/>
          <w:szCs w:val="30"/>
        </w:rPr>
        <w:t>2018</w:t>
      </w:r>
      <w:r w:rsidRPr="008443EC">
        <w:rPr>
          <w:rFonts w:ascii="仿宋_GB2312" w:eastAsia="仿宋_GB2312" w:hint="eastAsia"/>
          <w:sz w:val="30"/>
          <w:szCs w:val="30"/>
        </w:rPr>
        <w:t>）苏民终</w:t>
      </w:r>
      <w:r w:rsidRPr="008443EC">
        <w:rPr>
          <w:rFonts w:ascii="仿宋_GB2312" w:eastAsia="仿宋_GB2312"/>
          <w:sz w:val="30"/>
          <w:szCs w:val="30"/>
        </w:rPr>
        <w:t>130</w:t>
      </w:r>
      <w:r w:rsidRPr="008443EC">
        <w:rPr>
          <w:rFonts w:ascii="仿宋_GB2312" w:eastAsia="仿宋_GB2312" w:hint="eastAsia"/>
          <w:sz w:val="30"/>
          <w:szCs w:val="30"/>
        </w:rPr>
        <w:t>号</w:t>
      </w:r>
    </w:p>
    <w:p w:rsidR="00D906DC" w:rsidRPr="008443EC" w:rsidRDefault="00D906DC" w:rsidP="005F3E79">
      <w:pPr>
        <w:adjustRightInd w:val="0"/>
        <w:snapToGrid w:val="0"/>
        <w:spacing w:line="520" w:lineRule="exact"/>
        <w:ind w:firstLineChars="200" w:firstLine="600"/>
        <w:rPr>
          <w:rFonts w:ascii="仿宋_GB2312" w:eastAsia="仿宋_GB2312"/>
          <w:sz w:val="30"/>
          <w:szCs w:val="30"/>
        </w:rPr>
      </w:pPr>
      <w:r w:rsidRPr="008443EC">
        <w:rPr>
          <w:rFonts w:ascii="仿宋_GB2312" w:eastAsia="仿宋_GB2312" w:hint="eastAsia"/>
          <w:sz w:val="30"/>
          <w:szCs w:val="30"/>
        </w:rPr>
        <w:t>原告：上海玄霆娱乐信息科技有限公司徐州分公司</w:t>
      </w:r>
    </w:p>
    <w:p w:rsidR="00D906DC" w:rsidRPr="008443EC" w:rsidRDefault="00D906DC" w:rsidP="005F3E79">
      <w:pPr>
        <w:adjustRightInd w:val="0"/>
        <w:snapToGrid w:val="0"/>
        <w:spacing w:line="520" w:lineRule="exact"/>
        <w:ind w:firstLineChars="200" w:firstLine="600"/>
        <w:rPr>
          <w:rFonts w:ascii="仿宋_GB2312" w:eastAsia="仿宋_GB2312"/>
          <w:sz w:val="30"/>
          <w:szCs w:val="30"/>
        </w:rPr>
      </w:pPr>
      <w:r w:rsidRPr="008443EC">
        <w:rPr>
          <w:rFonts w:ascii="仿宋_GB2312" w:eastAsia="仿宋_GB2312" w:hint="eastAsia"/>
          <w:sz w:val="30"/>
          <w:szCs w:val="30"/>
        </w:rPr>
        <w:t>被告：张牧野、北京爱奇艺科技有限公司、东阳向上影业有限公司</w:t>
      </w:r>
    </w:p>
    <w:p w:rsidR="00D906DC" w:rsidRPr="007D6200" w:rsidRDefault="00D906DC" w:rsidP="005F3E79">
      <w:pPr>
        <w:adjustRightInd w:val="0"/>
        <w:snapToGrid w:val="0"/>
        <w:spacing w:line="520" w:lineRule="exact"/>
        <w:ind w:firstLineChars="200" w:firstLine="602"/>
        <w:rPr>
          <w:rFonts w:ascii="仿宋_GB2312" w:eastAsia="仿宋_GB2312"/>
          <w:b/>
          <w:bCs/>
          <w:sz w:val="30"/>
          <w:szCs w:val="30"/>
        </w:rPr>
      </w:pPr>
      <w:r w:rsidRPr="007D6200">
        <w:rPr>
          <w:rFonts w:ascii="仿宋_GB2312" w:eastAsia="仿宋_GB2312" w:hint="eastAsia"/>
          <w:b/>
          <w:bCs/>
          <w:sz w:val="30"/>
          <w:szCs w:val="30"/>
        </w:rPr>
        <w:t>【裁判要旨】</w:t>
      </w:r>
    </w:p>
    <w:p w:rsidR="00D906DC" w:rsidRPr="008443EC" w:rsidRDefault="00D906DC" w:rsidP="005F3E79">
      <w:pPr>
        <w:adjustRightInd w:val="0"/>
        <w:snapToGrid w:val="0"/>
        <w:spacing w:line="520" w:lineRule="exact"/>
        <w:ind w:firstLineChars="200" w:firstLine="600"/>
        <w:rPr>
          <w:rFonts w:ascii="仿宋_GB2312" w:eastAsia="仿宋_GB2312"/>
          <w:sz w:val="30"/>
          <w:szCs w:val="30"/>
        </w:rPr>
      </w:pPr>
      <w:r w:rsidRPr="008443EC">
        <w:rPr>
          <w:rFonts w:ascii="仿宋_GB2312" w:eastAsia="仿宋_GB2312" w:hint="eastAsia"/>
          <w:sz w:val="30"/>
          <w:szCs w:val="30"/>
        </w:rPr>
        <w:t>著名作品不仅具有文学欣赏价值，也具有商业价值。随着作品知名度和影响力不断越来越高，相应的作品名称与作品之间建立起稳定的对应关系，具备了区别作品来源的显著特征，构成了反不正当竞争法意义上的知名商品特有名称。该作品特有名称的权益应当归属于通过商业运营对培育知名度作出贡献的主体。</w:t>
      </w:r>
    </w:p>
    <w:p w:rsidR="00D906DC" w:rsidRPr="008443EC" w:rsidRDefault="00D906DC" w:rsidP="005F3E79">
      <w:pPr>
        <w:adjustRightInd w:val="0"/>
        <w:snapToGrid w:val="0"/>
        <w:spacing w:line="520" w:lineRule="exact"/>
        <w:ind w:firstLineChars="200" w:firstLine="600"/>
        <w:rPr>
          <w:rFonts w:ascii="仿宋_GB2312" w:eastAsia="仿宋_GB2312"/>
          <w:sz w:val="30"/>
          <w:szCs w:val="30"/>
        </w:rPr>
      </w:pPr>
      <w:r w:rsidRPr="008443EC">
        <w:rPr>
          <w:rFonts w:ascii="仿宋_GB2312" w:eastAsia="仿宋_GB2312" w:hint="eastAsia"/>
          <w:sz w:val="30"/>
          <w:szCs w:val="30"/>
        </w:rPr>
        <w:t>作品名称是否具有封建迷信色彩，应当从名称的起源、作者在创作时使用的目的、相关公众的一般认知、该名称是否会对社会公共利益和公共秩序造成消极负面影响等方面予以综合判定。</w:t>
      </w:r>
    </w:p>
    <w:p w:rsidR="00D906DC" w:rsidRPr="008443EC" w:rsidRDefault="00D906DC" w:rsidP="005F3E79">
      <w:pPr>
        <w:adjustRightInd w:val="0"/>
        <w:snapToGrid w:val="0"/>
        <w:spacing w:line="520" w:lineRule="exact"/>
        <w:ind w:firstLineChars="200" w:firstLine="600"/>
        <w:rPr>
          <w:rFonts w:ascii="仿宋_GB2312" w:eastAsia="仿宋_GB2312"/>
          <w:sz w:val="30"/>
          <w:szCs w:val="30"/>
        </w:rPr>
      </w:pPr>
      <w:r w:rsidRPr="008443EC">
        <w:rPr>
          <w:rFonts w:ascii="仿宋_GB2312" w:eastAsia="仿宋_GB2312" w:hint="eastAsia"/>
          <w:sz w:val="30"/>
          <w:szCs w:val="30"/>
        </w:rPr>
        <w:t>作品名称使用权与作者署名权等人身性质的权利不同。作品名称使用权的转让及相关权益的归属，并不限制作者利用其本名、笔名等再创作的自由。</w:t>
      </w:r>
    </w:p>
    <w:p w:rsidR="00D906DC" w:rsidRPr="007D6200" w:rsidRDefault="00D906DC" w:rsidP="005F3E79">
      <w:pPr>
        <w:adjustRightInd w:val="0"/>
        <w:snapToGrid w:val="0"/>
        <w:spacing w:line="520" w:lineRule="exact"/>
        <w:ind w:firstLineChars="200" w:firstLine="602"/>
        <w:rPr>
          <w:rFonts w:ascii="仿宋_GB2312" w:eastAsia="仿宋_GB2312"/>
          <w:b/>
          <w:bCs/>
          <w:sz w:val="30"/>
          <w:szCs w:val="30"/>
        </w:rPr>
      </w:pPr>
      <w:r w:rsidRPr="007D6200">
        <w:rPr>
          <w:rFonts w:ascii="仿宋_GB2312" w:eastAsia="仿宋_GB2312" w:hint="eastAsia"/>
          <w:b/>
          <w:bCs/>
          <w:sz w:val="30"/>
          <w:szCs w:val="30"/>
        </w:rPr>
        <w:t>【基本案情】</w:t>
      </w:r>
    </w:p>
    <w:p w:rsidR="00D906DC" w:rsidRPr="008443EC" w:rsidRDefault="00D906DC" w:rsidP="005F3E79">
      <w:pPr>
        <w:adjustRightInd w:val="0"/>
        <w:snapToGrid w:val="0"/>
        <w:spacing w:line="520" w:lineRule="exact"/>
        <w:ind w:firstLineChars="200" w:firstLine="600"/>
        <w:rPr>
          <w:rFonts w:ascii="仿宋_GB2312" w:eastAsia="仿宋_GB2312"/>
          <w:sz w:val="30"/>
          <w:szCs w:val="30"/>
        </w:rPr>
      </w:pPr>
      <w:r w:rsidRPr="008443EC">
        <w:rPr>
          <w:rFonts w:ascii="仿宋_GB2312" w:eastAsia="仿宋_GB2312"/>
          <w:sz w:val="30"/>
          <w:szCs w:val="30"/>
        </w:rPr>
        <w:t>2005</w:t>
      </w:r>
      <w:r w:rsidRPr="008443EC">
        <w:rPr>
          <w:rFonts w:ascii="仿宋_GB2312" w:eastAsia="仿宋_GB2312" w:hint="eastAsia"/>
          <w:sz w:val="30"/>
          <w:szCs w:val="30"/>
        </w:rPr>
        <w:t>年</w:t>
      </w:r>
      <w:r w:rsidRPr="008443EC">
        <w:rPr>
          <w:rFonts w:ascii="仿宋_GB2312" w:eastAsia="仿宋_GB2312"/>
          <w:sz w:val="30"/>
          <w:szCs w:val="30"/>
        </w:rPr>
        <w:t>12</w:t>
      </w:r>
      <w:r w:rsidRPr="008443EC">
        <w:rPr>
          <w:rFonts w:ascii="仿宋_GB2312" w:eastAsia="仿宋_GB2312" w:hint="eastAsia"/>
          <w:sz w:val="30"/>
          <w:szCs w:val="30"/>
        </w:rPr>
        <w:t>月，张牧野（笔名为天下霸唱）创作《鬼吹灯》（盗墓</w:t>
      </w:r>
      <w:r w:rsidRPr="008443EC">
        <w:rPr>
          <w:rFonts w:ascii="仿宋_GB2312" w:eastAsia="仿宋_GB2312" w:hint="eastAsia"/>
          <w:sz w:val="30"/>
          <w:szCs w:val="30"/>
        </w:rPr>
        <w:lastRenderedPageBreak/>
        <w:t>者的经历），并首次在“天涯论坛”发表，以连载的形式发表了</w:t>
      </w:r>
      <w:r w:rsidRPr="008443EC">
        <w:rPr>
          <w:rFonts w:ascii="仿宋_GB2312" w:eastAsia="仿宋_GB2312"/>
          <w:sz w:val="30"/>
          <w:szCs w:val="30"/>
        </w:rPr>
        <w:t>52</w:t>
      </w:r>
      <w:r w:rsidRPr="008443EC">
        <w:rPr>
          <w:rFonts w:ascii="仿宋_GB2312" w:eastAsia="仿宋_GB2312" w:hint="eastAsia"/>
          <w:sz w:val="30"/>
          <w:szCs w:val="30"/>
        </w:rPr>
        <w:t>章，其后《鬼吹灯》（盗墓者的经历）剩余章节及《鬼吹灯Ⅱ》的全部章节均在上海玄霆娱乐信息科技有限公司</w:t>
      </w:r>
      <w:r>
        <w:rPr>
          <w:rFonts w:ascii="仿宋_GB2312" w:eastAsia="仿宋_GB2312" w:hint="eastAsia"/>
          <w:sz w:val="30"/>
          <w:szCs w:val="30"/>
        </w:rPr>
        <w:t>（以下简称</w:t>
      </w:r>
      <w:r w:rsidRPr="008443EC">
        <w:rPr>
          <w:rFonts w:ascii="仿宋_GB2312" w:eastAsia="仿宋_GB2312" w:hint="eastAsia"/>
          <w:sz w:val="30"/>
          <w:szCs w:val="30"/>
        </w:rPr>
        <w:t>玄霆公司</w:t>
      </w:r>
      <w:r>
        <w:rPr>
          <w:rFonts w:ascii="仿宋_GB2312" w:eastAsia="仿宋_GB2312" w:hint="eastAsia"/>
          <w:sz w:val="30"/>
          <w:szCs w:val="30"/>
        </w:rPr>
        <w:t>）</w:t>
      </w:r>
      <w:r w:rsidRPr="008443EC">
        <w:rPr>
          <w:rFonts w:ascii="仿宋_GB2312" w:eastAsia="仿宋_GB2312" w:hint="eastAsia"/>
          <w:sz w:val="30"/>
          <w:szCs w:val="30"/>
        </w:rPr>
        <w:t>所有起点中文网上发表。</w:t>
      </w:r>
    </w:p>
    <w:p w:rsidR="00D906DC" w:rsidRPr="008443EC" w:rsidRDefault="00D906DC" w:rsidP="005F3E79">
      <w:pPr>
        <w:adjustRightInd w:val="0"/>
        <w:snapToGrid w:val="0"/>
        <w:spacing w:line="520" w:lineRule="exact"/>
        <w:ind w:firstLineChars="200" w:firstLine="600"/>
        <w:rPr>
          <w:rFonts w:ascii="仿宋_GB2312" w:eastAsia="仿宋_GB2312"/>
          <w:sz w:val="30"/>
          <w:szCs w:val="30"/>
        </w:rPr>
      </w:pPr>
      <w:r w:rsidRPr="008443EC">
        <w:rPr>
          <w:rFonts w:ascii="仿宋_GB2312" w:eastAsia="仿宋_GB2312"/>
          <w:sz w:val="30"/>
          <w:szCs w:val="30"/>
        </w:rPr>
        <w:t>2007</w:t>
      </w:r>
      <w:r w:rsidRPr="008443EC">
        <w:rPr>
          <w:rFonts w:ascii="仿宋_GB2312" w:eastAsia="仿宋_GB2312" w:hint="eastAsia"/>
          <w:sz w:val="30"/>
          <w:szCs w:val="30"/>
        </w:rPr>
        <w:t>年</w:t>
      </w:r>
      <w:r w:rsidRPr="008443EC">
        <w:rPr>
          <w:rFonts w:ascii="仿宋_GB2312" w:eastAsia="仿宋_GB2312"/>
          <w:sz w:val="30"/>
          <w:szCs w:val="30"/>
        </w:rPr>
        <w:t>1</w:t>
      </w:r>
      <w:r w:rsidRPr="008443EC">
        <w:rPr>
          <w:rFonts w:ascii="仿宋_GB2312" w:eastAsia="仿宋_GB2312" w:hint="eastAsia"/>
          <w:sz w:val="30"/>
          <w:szCs w:val="30"/>
        </w:rPr>
        <w:t>月</w:t>
      </w:r>
      <w:r w:rsidRPr="008443EC">
        <w:rPr>
          <w:rFonts w:ascii="仿宋_GB2312" w:eastAsia="仿宋_GB2312"/>
          <w:sz w:val="30"/>
          <w:szCs w:val="30"/>
        </w:rPr>
        <w:t>18</w:t>
      </w:r>
      <w:r w:rsidRPr="008443EC">
        <w:rPr>
          <w:rFonts w:ascii="仿宋_GB2312" w:eastAsia="仿宋_GB2312" w:hint="eastAsia"/>
          <w:sz w:val="30"/>
          <w:szCs w:val="30"/>
        </w:rPr>
        <w:t>日，玄霆公司（甲方）与张牧野（乙方）签订《协议书》，约定乙方将《鬼吹灯（盗墓者的经历）》除中国法律规定专属于乙方的权利外的著作权全部转让给甲方。</w:t>
      </w:r>
    </w:p>
    <w:p w:rsidR="00D906DC" w:rsidRPr="008443EC" w:rsidRDefault="00D906DC" w:rsidP="005F3E79">
      <w:pPr>
        <w:adjustRightInd w:val="0"/>
        <w:snapToGrid w:val="0"/>
        <w:spacing w:line="520" w:lineRule="exact"/>
        <w:ind w:firstLineChars="200" w:firstLine="600"/>
        <w:rPr>
          <w:rFonts w:ascii="仿宋_GB2312" w:eastAsia="仿宋_GB2312"/>
          <w:sz w:val="30"/>
          <w:szCs w:val="30"/>
        </w:rPr>
      </w:pPr>
      <w:r w:rsidRPr="008443EC">
        <w:rPr>
          <w:rFonts w:ascii="仿宋_GB2312" w:eastAsia="仿宋_GB2312" w:hint="eastAsia"/>
          <w:sz w:val="30"/>
          <w:szCs w:val="30"/>
        </w:rPr>
        <w:t>同日，玄霆公司（甲方）与张牧野（乙方）再次签订《协议书》一份，该《协议书》第</w:t>
      </w:r>
      <w:r w:rsidRPr="008443EC">
        <w:rPr>
          <w:rFonts w:ascii="仿宋_GB2312" w:eastAsia="仿宋_GB2312"/>
          <w:sz w:val="30"/>
          <w:szCs w:val="30"/>
        </w:rPr>
        <w:t>3.1</w:t>
      </w:r>
      <w:r w:rsidRPr="008443EC">
        <w:rPr>
          <w:rFonts w:ascii="仿宋_GB2312" w:eastAsia="仿宋_GB2312" w:hint="eastAsia"/>
          <w:sz w:val="30"/>
          <w:szCs w:val="30"/>
        </w:rPr>
        <w:t>条约定：本协议有效期内，乙方作为甲方的专属作者将协议作品著作权中除根据中国法律规定专属于乙方的权利以外的全部权利转让给甲方（包括但不限于信息网络传播及电子出版权、图书传版权、作品改编权利等）。作品名称为：魁星踢斗（暂定名）。第</w:t>
      </w:r>
      <w:r w:rsidRPr="008443EC">
        <w:rPr>
          <w:rFonts w:ascii="仿宋_GB2312" w:eastAsia="仿宋_GB2312"/>
          <w:sz w:val="30"/>
          <w:szCs w:val="30"/>
        </w:rPr>
        <w:t>4.1.1</w:t>
      </w:r>
      <w:r w:rsidRPr="008443EC">
        <w:rPr>
          <w:rFonts w:ascii="仿宋_GB2312" w:eastAsia="仿宋_GB2312" w:hint="eastAsia"/>
          <w:sz w:val="30"/>
          <w:szCs w:val="30"/>
        </w:rPr>
        <w:t>与第</w:t>
      </w:r>
      <w:r w:rsidRPr="008443EC">
        <w:rPr>
          <w:rFonts w:ascii="仿宋_GB2312" w:eastAsia="仿宋_GB2312"/>
          <w:sz w:val="30"/>
          <w:szCs w:val="30"/>
        </w:rPr>
        <w:t>5.1.1</w:t>
      </w:r>
      <w:r w:rsidRPr="008443EC">
        <w:rPr>
          <w:rFonts w:ascii="仿宋_GB2312" w:eastAsia="仿宋_GB2312" w:hint="eastAsia"/>
          <w:sz w:val="30"/>
          <w:szCs w:val="30"/>
        </w:rPr>
        <w:t>条约定：转让费为税前人民币</w:t>
      </w:r>
      <w:r w:rsidRPr="008443EC">
        <w:rPr>
          <w:rFonts w:ascii="仿宋_GB2312" w:eastAsia="仿宋_GB2312"/>
          <w:sz w:val="30"/>
          <w:szCs w:val="30"/>
        </w:rPr>
        <w:t>150</w:t>
      </w:r>
      <w:r w:rsidRPr="008443EC">
        <w:rPr>
          <w:rFonts w:ascii="仿宋_GB2312" w:eastAsia="仿宋_GB2312" w:hint="eastAsia"/>
          <w:sz w:val="30"/>
          <w:szCs w:val="30"/>
        </w:rPr>
        <w:t>万元，甲方应当按照本协议的约定，按时向乙方支付转让费。第</w:t>
      </w:r>
      <w:r w:rsidRPr="008443EC">
        <w:rPr>
          <w:rFonts w:ascii="仿宋_GB2312" w:eastAsia="仿宋_GB2312"/>
          <w:sz w:val="30"/>
          <w:szCs w:val="30"/>
        </w:rPr>
        <w:t>4.2.5</w:t>
      </w:r>
      <w:r w:rsidRPr="008443EC">
        <w:rPr>
          <w:rFonts w:ascii="仿宋_GB2312" w:eastAsia="仿宋_GB2312" w:hint="eastAsia"/>
          <w:sz w:val="30"/>
          <w:szCs w:val="30"/>
        </w:rPr>
        <w:t>条约定：在本协议有效期内及本协议履行完毕后，乙方不得使用其本名、笔名或其中任何一个以与本作品名相同或相似的创作作品或作为作品中主要章节的标题。第</w:t>
      </w:r>
      <w:r w:rsidRPr="008443EC">
        <w:rPr>
          <w:rFonts w:ascii="仿宋_GB2312" w:eastAsia="仿宋_GB2312"/>
          <w:sz w:val="30"/>
          <w:szCs w:val="30"/>
        </w:rPr>
        <w:t>7.1.1</w:t>
      </w:r>
      <w:r w:rsidRPr="008443EC">
        <w:rPr>
          <w:rFonts w:ascii="仿宋_GB2312" w:eastAsia="仿宋_GB2312" w:hint="eastAsia"/>
          <w:sz w:val="30"/>
          <w:szCs w:val="30"/>
        </w:rPr>
        <w:t>条约定：作品如成功签署影视改编权协议，产生经济效益，则甲方承诺将该部分影视改编所产生报酬的</w:t>
      </w:r>
      <w:r w:rsidRPr="008443EC">
        <w:rPr>
          <w:rFonts w:ascii="仿宋_GB2312" w:eastAsia="仿宋_GB2312"/>
          <w:sz w:val="30"/>
          <w:szCs w:val="30"/>
        </w:rPr>
        <w:t>40%</w:t>
      </w:r>
      <w:r w:rsidRPr="008443EC">
        <w:rPr>
          <w:rFonts w:ascii="仿宋_GB2312" w:eastAsia="仿宋_GB2312" w:hint="eastAsia"/>
          <w:sz w:val="30"/>
          <w:szCs w:val="30"/>
        </w:rPr>
        <w:t>作为奖励，在得到第三方钱款后</w:t>
      </w:r>
      <w:r w:rsidRPr="008443EC">
        <w:rPr>
          <w:rFonts w:ascii="仿宋_GB2312" w:eastAsia="仿宋_GB2312"/>
          <w:sz w:val="30"/>
          <w:szCs w:val="30"/>
        </w:rPr>
        <w:t>15</w:t>
      </w:r>
      <w:r w:rsidRPr="008443EC">
        <w:rPr>
          <w:rFonts w:ascii="仿宋_GB2312" w:eastAsia="仿宋_GB2312" w:hint="eastAsia"/>
          <w:sz w:val="30"/>
          <w:szCs w:val="30"/>
        </w:rPr>
        <w:t>个工作日内支付给乙方。双方当事人还对与协议有关的其他事项进行了约定。</w:t>
      </w:r>
      <w:r w:rsidRPr="008443EC">
        <w:rPr>
          <w:rFonts w:ascii="仿宋_GB2312" w:eastAsia="仿宋_GB2312"/>
          <w:sz w:val="30"/>
          <w:szCs w:val="30"/>
        </w:rPr>
        <w:t>2007</w:t>
      </w:r>
      <w:r w:rsidRPr="008443EC">
        <w:rPr>
          <w:rFonts w:ascii="仿宋_GB2312" w:eastAsia="仿宋_GB2312" w:hint="eastAsia"/>
          <w:sz w:val="30"/>
          <w:szCs w:val="30"/>
        </w:rPr>
        <w:t>年</w:t>
      </w:r>
      <w:r w:rsidRPr="008443EC">
        <w:rPr>
          <w:rFonts w:ascii="仿宋_GB2312" w:eastAsia="仿宋_GB2312"/>
          <w:sz w:val="30"/>
          <w:szCs w:val="30"/>
        </w:rPr>
        <w:t>10</w:t>
      </w:r>
      <w:r w:rsidRPr="008443EC">
        <w:rPr>
          <w:rFonts w:ascii="仿宋_GB2312" w:eastAsia="仿宋_GB2312" w:hint="eastAsia"/>
          <w:sz w:val="30"/>
          <w:szCs w:val="30"/>
        </w:rPr>
        <w:t>月</w:t>
      </w:r>
      <w:r w:rsidRPr="008443EC">
        <w:rPr>
          <w:rFonts w:ascii="仿宋_GB2312" w:eastAsia="仿宋_GB2312"/>
          <w:sz w:val="30"/>
          <w:szCs w:val="30"/>
        </w:rPr>
        <w:t>12</w:t>
      </w:r>
      <w:r w:rsidRPr="008443EC">
        <w:rPr>
          <w:rFonts w:ascii="仿宋_GB2312" w:eastAsia="仿宋_GB2312" w:hint="eastAsia"/>
          <w:sz w:val="30"/>
          <w:szCs w:val="30"/>
        </w:rPr>
        <w:t>日，玄霆公司（甲方）与张牧野（乙方）签订《补充确认书》，再次确认了上述协议。</w:t>
      </w:r>
    </w:p>
    <w:p w:rsidR="00D906DC" w:rsidRPr="008443EC" w:rsidRDefault="00D906DC" w:rsidP="005F3E79">
      <w:pPr>
        <w:adjustRightInd w:val="0"/>
        <w:snapToGrid w:val="0"/>
        <w:spacing w:line="520" w:lineRule="exact"/>
        <w:ind w:firstLineChars="200" w:firstLine="600"/>
        <w:rPr>
          <w:rFonts w:ascii="仿宋_GB2312" w:eastAsia="仿宋_GB2312"/>
          <w:sz w:val="30"/>
          <w:szCs w:val="30"/>
        </w:rPr>
      </w:pPr>
      <w:r w:rsidRPr="008443EC">
        <w:rPr>
          <w:rFonts w:ascii="仿宋_GB2312" w:eastAsia="仿宋_GB2312"/>
          <w:sz w:val="30"/>
          <w:szCs w:val="30"/>
        </w:rPr>
        <w:t>2009</w:t>
      </w:r>
      <w:r w:rsidRPr="008443EC">
        <w:rPr>
          <w:rFonts w:ascii="仿宋_GB2312" w:eastAsia="仿宋_GB2312" w:hint="eastAsia"/>
          <w:sz w:val="30"/>
          <w:szCs w:val="30"/>
        </w:rPr>
        <w:t>年</w:t>
      </w:r>
      <w:r w:rsidRPr="008443EC">
        <w:rPr>
          <w:rFonts w:ascii="仿宋_GB2312" w:eastAsia="仿宋_GB2312"/>
          <w:sz w:val="30"/>
          <w:szCs w:val="30"/>
        </w:rPr>
        <w:t>9</w:t>
      </w:r>
      <w:r w:rsidRPr="008443EC">
        <w:rPr>
          <w:rFonts w:ascii="仿宋_GB2312" w:eastAsia="仿宋_GB2312" w:hint="eastAsia"/>
          <w:sz w:val="30"/>
          <w:szCs w:val="30"/>
        </w:rPr>
        <w:t>月，张牧野在《南方都市报》开设专栏，以“天下霸唱”的名义陆续创作、发表《牧野诡事》（在报纸上使用的名称为牧野之章）。</w:t>
      </w:r>
      <w:r w:rsidRPr="008443EC">
        <w:rPr>
          <w:rFonts w:ascii="仿宋_GB2312" w:eastAsia="仿宋_GB2312"/>
          <w:sz w:val="30"/>
          <w:szCs w:val="30"/>
        </w:rPr>
        <w:t>2015</w:t>
      </w:r>
      <w:r w:rsidRPr="008443EC">
        <w:rPr>
          <w:rFonts w:ascii="仿宋_GB2312" w:eastAsia="仿宋_GB2312" w:hint="eastAsia"/>
          <w:sz w:val="30"/>
          <w:szCs w:val="30"/>
        </w:rPr>
        <w:t>年</w:t>
      </w:r>
      <w:r w:rsidRPr="008443EC">
        <w:rPr>
          <w:rFonts w:ascii="仿宋_GB2312" w:eastAsia="仿宋_GB2312"/>
          <w:sz w:val="30"/>
          <w:szCs w:val="30"/>
        </w:rPr>
        <w:t>6</w:t>
      </w:r>
      <w:r w:rsidRPr="008443EC">
        <w:rPr>
          <w:rFonts w:ascii="仿宋_GB2312" w:eastAsia="仿宋_GB2312" w:hint="eastAsia"/>
          <w:sz w:val="30"/>
          <w:szCs w:val="30"/>
        </w:rPr>
        <w:t>月</w:t>
      </w:r>
      <w:r w:rsidRPr="008443EC">
        <w:rPr>
          <w:rFonts w:ascii="仿宋_GB2312" w:eastAsia="仿宋_GB2312"/>
          <w:sz w:val="30"/>
          <w:szCs w:val="30"/>
        </w:rPr>
        <w:t>10</w:t>
      </w:r>
      <w:r w:rsidRPr="008443EC">
        <w:rPr>
          <w:rFonts w:ascii="仿宋_GB2312" w:eastAsia="仿宋_GB2312" w:hint="eastAsia"/>
          <w:sz w:val="30"/>
          <w:szCs w:val="30"/>
        </w:rPr>
        <w:t>日，张牧野（甲方）与北京向上霸唱传媒有限公司（乙</w:t>
      </w:r>
      <w:r w:rsidRPr="008443EC">
        <w:rPr>
          <w:rFonts w:ascii="仿宋_GB2312" w:eastAsia="仿宋_GB2312" w:hint="eastAsia"/>
          <w:sz w:val="30"/>
          <w:szCs w:val="30"/>
        </w:rPr>
        <w:lastRenderedPageBreak/>
        <w:t>方）签订《文学作品专有许可使用合同》，约定张牧野将《鬼吹灯之牧野诡事》文字作品的改编权等权利授权许可乙方行使。</w:t>
      </w:r>
      <w:r w:rsidRPr="008443EC">
        <w:rPr>
          <w:rFonts w:ascii="仿宋_GB2312" w:eastAsia="仿宋_GB2312"/>
          <w:sz w:val="30"/>
          <w:szCs w:val="30"/>
        </w:rPr>
        <w:t>2015</w:t>
      </w:r>
      <w:r w:rsidRPr="008443EC">
        <w:rPr>
          <w:rFonts w:ascii="仿宋_GB2312" w:eastAsia="仿宋_GB2312" w:hint="eastAsia"/>
          <w:sz w:val="30"/>
          <w:szCs w:val="30"/>
        </w:rPr>
        <w:t>年</w:t>
      </w:r>
      <w:r w:rsidRPr="008443EC">
        <w:rPr>
          <w:rFonts w:ascii="仿宋_GB2312" w:eastAsia="仿宋_GB2312"/>
          <w:sz w:val="30"/>
          <w:szCs w:val="30"/>
        </w:rPr>
        <w:t>6</w:t>
      </w:r>
      <w:r w:rsidRPr="008443EC">
        <w:rPr>
          <w:rFonts w:ascii="仿宋_GB2312" w:eastAsia="仿宋_GB2312" w:hint="eastAsia"/>
          <w:sz w:val="30"/>
          <w:szCs w:val="30"/>
        </w:rPr>
        <w:t>月</w:t>
      </w:r>
      <w:r w:rsidRPr="008443EC">
        <w:rPr>
          <w:rFonts w:ascii="仿宋_GB2312" w:eastAsia="仿宋_GB2312"/>
          <w:sz w:val="30"/>
          <w:szCs w:val="30"/>
        </w:rPr>
        <w:t>15</w:t>
      </w:r>
      <w:r w:rsidRPr="008443EC">
        <w:rPr>
          <w:rFonts w:ascii="仿宋_GB2312" w:eastAsia="仿宋_GB2312" w:hint="eastAsia"/>
          <w:sz w:val="30"/>
          <w:szCs w:val="30"/>
        </w:rPr>
        <w:t>日，北京向上霸唱传媒有限公司（甲方）与东阳向上影业有限公司</w:t>
      </w:r>
      <w:r>
        <w:rPr>
          <w:rFonts w:ascii="仿宋_GB2312" w:eastAsia="仿宋_GB2312" w:hint="eastAsia"/>
          <w:sz w:val="30"/>
          <w:szCs w:val="30"/>
        </w:rPr>
        <w:t>（以下简称</w:t>
      </w:r>
      <w:r w:rsidRPr="008443EC">
        <w:rPr>
          <w:rFonts w:ascii="仿宋_GB2312" w:eastAsia="仿宋_GB2312" w:hint="eastAsia"/>
          <w:sz w:val="30"/>
          <w:szCs w:val="30"/>
        </w:rPr>
        <w:t>东阳公司</w:t>
      </w:r>
      <w:r>
        <w:rPr>
          <w:rFonts w:ascii="仿宋_GB2312" w:eastAsia="仿宋_GB2312" w:hint="eastAsia"/>
          <w:sz w:val="30"/>
          <w:szCs w:val="30"/>
        </w:rPr>
        <w:t>）</w:t>
      </w:r>
      <w:r w:rsidRPr="008443EC">
        <w:rPr>
          <w:rFonts w:ascii="仿宋_GB2312" w:eastAsia="仿宋_GB2312" w:hint="eastAsia"/>
          <w:sz w:val="30"/>
          <w:szCs w:val="30"/>
        </w:rPr>
        <w:t>（乙方）签订了《文学作品专有许可使用合同》，约定内容与张牧野、北京向上霸唱传媒有限公司间签订的《文学作品专有许可使用合同》的约定内容一致。</w:t>
      </w:r>
      <w:r w:rsidRPr="008443EC">
        <w:rPr>
          <w:rFonts w:ascii="仿宋_GB2312" w:eastAsia="仿宋_GB2312"/>
          <w:sz w:val="30"/>
          <w:szCs w:val="30"/>
        </w:rPr>
        <w:t>2016</w:t>
      </w:r>
      <w:r w:rsidRPr="008443EC">
        <w:rPr>
          <w:rFonts w:ascii="仿宋_GB2312" w:eastAsia="仿宋_GB2312" w:hint="eastAsia"/>
          <w:sz w:val="30"/>
          <w:szCs w:val="30"/>
        </w:rPr>
        <w:t>年</w:t>
      </w:r>
      <w:r w:rsidRPr="008443EC">
        <w:rPr>
          <w:rFonts w:ascii="仿宋_GB2312" w:eastAsia="仿宋_GB2312"/>
          <w:sz w:val="30"/>
          <w:szCs w:val="30"/>
        </w:rPr>
        <w:t>1</w:t>
      </w:r>
      <w:r w:rsidRPr="008443EC">
        <w:rPr>
          <w:rFonts w:ascii="仿宋_GB2312" w:eastAsia="仿宋_GB2312" w:hint="eastAsia"/>
          <w:sz w:val="30"/>
          <w:szCs w:val="30"/>
        </w:rPr>
        <w:t>月</w:t>
      </w:r>
      <w:r w:rsidRPr="008443EC">
        <w:rPr>
          <w:rFonts w:ascii="仿宋_GB2312" w:eastAsia="仿宋_GB2312"/>
          <w:sz w:val="30"/>
          <w:szCs w:val="30"/>
        </w:rPr>
        <w:t>15</w:t>
      </w:r>
      <w:r w:rsidRPr="008443EC">
        <w:rPr>
          <w:rFonts w:ascii="仿宋_GB2312" w:eastAsia="仿宋_GB2312" w:hint="eastAsia"/>
          <w:sz w:val="30"/>
          <w:szCs w:val="30"/>
        </w:rPr>
        <w:t>日，北京爱奇艺科技有限公司</w:t>
      </w:r>
      <w:r>
        <w:rPr>
          <w:rFonts w:ascii="仿宋_GB2312" w:eastAsia="仿宋_GB2312" w:hint="eastAsia"/>
          <w:sz w:val="30"/>
          <w:szCs w:val="30"/>
        </w:rPr>
        <w:t>（以下简称</w:t>
      </w:r>
      <w:r w:rsidRPr="008443EC">
        <w:rPr>
          <w:rFonts w:ascii="仿宋_GB2312" w:eastAsia="仿宋_GB2312" w:hint="eastAsia"/>
          <w:sz w:val="30"/>
          <w:szCs w:val="30"/>
        </w:rPr>
        <w:t>爱奇艺公司</w:t>
      </w:r>
      <w:r>
        <w:rPr>
          <w:rFonts w:ascii="仿宋_GB2312" w:eastAsia="仿宋_GB2312" w:hint="eastAsia"/>
          <w:sz w:val="30"/>
          <w:szCs w:val="30"/>
        </w:rPr>
        <w:t>）</w:t>
      </w:r>
      <w:r w:rsidRPr="008443EC">
        <w:rPr>
          <w:rFonts w:ascii="仿宋_GB2312" w:eastAsia="仿宋_GB2312" w:hint="eastAsia"/>
          <w:sz w:val="30"/>
          <w:szCs w:val="30"/>
        </w:rPr>
        <w:t>（甲方）与东阳公司（乙方）签订《超级季播剧</w:t>
      </w:r>
      <w:r w:rsidRPr="00E23D03">
        <w:rPr>
          <w:rFonts w:ascii="仿宋_GB2312" w:eastAsia="仿宋_GB2312" w:hAnsi="仿宋_GB2312" w:cs="仿宋_GB2312" w:hint="eastAsia"/>
          <w:sz w:val="30"/>
          <w:szCs w:val="30"/>
        </w:rPr>
        <w:t></w:t>
      </w:r>
      <w:r w:rsidRPr="008443EC">
        <w:rPr>
          <w:rFonts w:ascii="仿宋_GB2312" w:eastAsia="仿宋_GB2312" w:hint="eastAsia"/>
          <w:sz w:val="30"/>
          <w:szCs w:val="30"/>
        </w:rPr>
        <w:t>鬼吹灯之牧野诡事</w:t>
      </w:r>
      <w:r w:rsidRPr="00E23D03">
        <w:rPr>
          <w:rFonts w:ascii="仿宋_GB2312" w:eastAsia="仿宋_GB2312" w:hAnsi="仿宋_GB2312" w:cs="仿宋_GB2312" w:hint="eastAsia"/>
          <w:sz w:val="30"/>
          <w:szCs w:val="30"/>
        </w:rPr>
        <w:t></w:t>
      </w:r>
      <w:r w:rsidRPr="008443EC">
        <w:rPr>
          <w:rFonts w:ascii="仿宋_GB2312" w:eastAsia="仿宋_GB2312" w:hint="eastAsia"/>
          <w:sz w:val="30"/>
          <w:szCs w:val="30"/>
        </w:rPr>
        <w:t>联合投资协议》，约定超级季播剧的名称为《鬼吹灯之牧野诡事》第一季（暂定名，最终以实际播出为准）等。</w:t>
      </w:r>
      <w:r w:rsidRPr="008443EC">
        <w:rPr>
          <w:rFonts w:ascii="仿宋_GB2312" w:eastAsia="仿宋_GB2312"/>
          <w:sz w:val="30"/>
          <w:szCs w:val="30"/>
        </w:rPr>
        <w:t>2016</w:t>
      </w:r>
      <w:r w:rsidRPr="008443EC">
        <w:rPr>
          <w:rFonts w:ascii="仿宋_GB2312" w:eastAsia="仿宋_GB2312" w:hint="eastAsia"/>
          <w:sz w:val="30"/>
          <w:szCs w:val="30"/>
        </w:rPr>
        <w:t>年</w:t>
      </w:r>
      <w:r w:rsidRPr="008443EC">
        <w:rPr>
          <w:rFonts w:ascii="仿宋_GB2312" w:eastAsia="仿宋_GB2312"/>
          <w:sz w:val="30"/>
          <w:szCs w:val="30"/>
        </w:rPr>
        <w:t>11</w:t>
      </w:r>
      <w:r w:rsidRPr="008443EC">
        <w:rPr>
          <w:rFonts w:ascii="仿宋_GB2312" w:eastAsia="仿宋_GB2312" w:hint="eastAsia"/>
          <w:sz w:val="30"/>
          <w:szCs w:val="30"/>
        </w:rPr>
        <w:t>月</w:t>
      </w:r>
      <w:r w:rsidRPr="008443EC">
        <w:rPr>
          <w:rFonts w:ascii="仿宋_GB2312" w:eastAsia="仿宋_GB2312"/>
          <w:sz w:val="30"/>
          <w:szCs w:val="30"/>
        </w:rPr>
        <w:t>16</w:t>
      </w:r>
      <w:r w:rsidRPr="008443EC">
        <w:rPr>
          <w:rFonts w:ascii="仿宋_GB2312" w:eastAsia="仿宋_GB2312" w:hint="eastAsia"/>
          <w:sz w:val="30"/>
          <w:szCs w:val="30"/>
        </w:rPr>
        <w:t>日，张牧野、东阳公司发表联合声明：网剧《鬼吹灯之牧野诡事》（暂命名）系经原小说作品《鬼吹灯之牧野诡事》的作者、即小说作品的唯一原始著作权人张牧野（笔名：天下霸唱）合法授权，由东阳公司、爱奇艺公司联合投资、制作。</w:t>
      </w:r>
    </w:p>
    <w:p w:rsidR="00D906DC" w:rsidRPr="008443EC" w:rsidRDefault="00D906DC" w:rsidP="005F3E79">
      <w:pPr>
        <w:adjustRightInd w:val="0"/>
        <w:snapToGrid w:val="0"/>
        <w:spacing w:line="520" w:lineRule="exact"/>
        <w:ind w:firstLineChars="200" w:firstLine="600"/>
        <w:rPr>
          <w:rFonts w:ascii="仿宋_GB2312" w:eastAsia="仿宋_GB2312"/>
          <w:sz w:val="30"/>
          <w:szCs w:val="30"/>
        </w:rPr>
      </w:pPr>
      <w:r w:rsidRPr="008443EC">
        <w:rPr>
          <w:rFonts w:ascii="仿宋_GB2312" w:eastAsia="仿宋_GB2312" w:hint="eastAsia"/>
          <w:sz w:val="30"/>
          <w:szCs w:val="30"/>
        </w:rPr>
        <w:t>上海玄霆娱乐信息科技有限公司徐州分公司</w:t>
      </w:r>
      <w:r>
        <w:rPr>
          <w:rFonts w:ascii="仿宋_GB2312" w:eastAsia="仿宋_GB2312" w:hint="eastAsia"/>
          <w:sz w:val="30"/>
          <w:szCs w:val="30"/>
        </w:rPr>
        <w:t>（以下简称</w:t>
      </w:r>
      <w:r w:rsidRPr="008443EC">
        <w:rPr>
          <w:rFonts w:ascii="仿宋_GB2312" w:eastAsia="仿宋_GB2312" w:hint="eastAsia"/>
          <w:sz w:val="30"/>
          <w:szCs w:val="30"/>
        </w:rPr>
        <w:t>玄霆徐州分公司</w:t>
      </w:r>
      <w:r>
        <w:rPr>
          <w:rFonts w:ascii="仿宋_GB2312" w:eastAsia="仿宋_GB2312" w:hint="eastAsia"/>
          <w:sz w:val="30"/>
          <w:szCs w:val="30"/>
        </w:rPr>
        <w:t>）</w:t>
      </w:r>
      <w:r w:rsidRPr="008443EC">
        <w:rPr>
          <w:rFonts w:ascii="仿宋_GB2312" w:eastAsia="仿宋_GB2312" w:hint="eastAsia"/>
          <w:sz w:val="30"/>
          <w:szCs w:val="30"/>
        </w:rPr>
        <w:t>认为，其与玄霆公司签订《权利转让协议》，受让了《鬼吹灯</w:t>
      </w:r>
      <w:r w:rsidRPr="008443EC">
        <w:rPr>
          <w:rFonts w:ascii="仿宋_GB2312" w:eastAsia="仿宋_GB2312"/>
          <w:sz w:val="30"/>
          <w:szCs w:val="30"/>
        </w:rPr>
        <w:t>I</w:t>
      </w:r>
      <w:r w:rsidRPr="008443EC">
        <w:rPr>
          <w:rFonts w:ascii="仿宋_GB2312" w:eastAsia="仿宋_GB2312" w:hint="eastAsia"/>
          <w:sz w:val="30"/>
          <w:szCs w:val="30"/>
        </w:rPr>
        <w:t>》《鬼吹灯</w:t>
      </w:r>
      <w:r w:rsidRPr="008443EC">
        <w:rPr>
          <w:rFonts w:ascii="仿宋_GB2312" w:eastAsia="仿宋_GB2312"/>
          <w:sz w:val="30"/>
          <w:szCs w:val="30"/>
        </w:rPr>
        <w:t>II</w:t>
      </w:r>
      <w:r w:rsidRPr="008443EC">
        <w:rPr>
          <w:rFonts w:ascii="仿宋_GB2312" w:eastAsia="仿宋_GB2312" w:hint="eastAsia"/>
          <w:sz w:val="30"/>
          <w:szCs w:val="30"/>
        </w:rPr>
        <w:t>》（以下简称《鬼吹灯》系列作品）的著作权及相关衍生权利。《鬼吹灯》系列作品首发于“起点中文网”，获得多项荣誉，具有极高的知名度，为知名商品；作品名称“鬼吹灯”与该知名商品具有极强的指向性和联系，为特有名称。张牧野在授权东阳公司、爱奇艺公司将《牧野诡事》文字作品改编成涉案影视剧的过程中，未经知名商品特有名称权益人的许可，在《牧野诡事》作品前冠之以“鬼吹灯”标识，侵害了玄霆徐州分公司的知名商品特有名称权益。爱奇艺公司、东阳公司作为涉案影视剧的制片者，在影视剧的名称中使用“鬼吹灯”标识等，侵害了玄霆徐州分公司的知名商品特有名称权益。</w:t>
      </w:r>
      <w:r w:rsidRPr="008443EC">
        <w:rPr>
          <w:rFonts w:ascii="仿宋_GB2312" w:eastAsia="仿宋_GB2312" w:hint="eastAsia"/>
          <w:sz w:val="30"/>
          <w:szCs w:val="30"/>
        </w:rPr>
        <w:lastRenderedPageBreak/>
        <w:t>张牧野、爱奇艺公司、东阳公司彼此间具有意思联络，共同实施了擅自使用知名商品特有名称的不正当竞争行为。同时，爱奇艺公司在涉案影视剧的宣传中大量使用“没有牧野诡事就没有鬼吹灯”“最正宗的鬼吹灯系列”等宣传用语，构成虚假宣传行为。</w:t>
      </w:r>
    </w:p>
    <w:p w:rsidR="00D906DC" w:rsidRPr="008443EC" w:rsidRDefault="00D906DC" w:rsidP="005F3E79">
      <w:pPr>
        <w:adjustRightInd w:val="0"/>
        <w:snapToGrid w:val="0"/>
        <w:spacing w:line="520" w:lineRule="exact"/>
        <w:ind w:firstLineChars="200" w:firstLine="600"/>
        <w:rPr>
          <w:rFonts w:ascii="仿宋_GB2312" w:eastAsia="仿宋_GB2312"/>
          <w:sz w:val="30"/>
          <w:szCs w:val="30"/>
        </w:rPr>
      </w:pPr>
      <w:r w:rsidRPr="008443EC">
        <w:rPr>
          <w:rFonts w:ascii="仿宋_GB2312" w:eastAsia="仿宋_GB2312" w:hint="eastAsia"/>
          <w:sz w:val="30"/>
          <w:szCs w:val="30"/>
        </w:rPr>
        <w:t>张牧野辩称，即使“鬼吹灯”标识构成知名商品特有名称，权益也应归属于张牧野而非玄霆徐州分公司；玄霆公司与张牧野针对《鬼吹灯》系列小说第二部签订的《协议书》中第</w:t>
      </w:r>
      <w:r w:rsidRPr="008443EC">
        <w:rPr>
          <w:rFonts w:ascii="仿宋_GB2312" w:eastAsia="仿宋_GB2312"/>
          <w:sz w:val="30"/>
          <w:szCs w:val="30"/>
        </w:rPr>
        <w:t>4.2.5</w:t>
      </w:r>
      <w:r w:rsidRPr="008443EC">
        <w:rPr>
          <w:rFonts w:ascii="仿宋_GB2312" w:eastAsia="仿宋_GB2312" w:hint="eastAsia"/>
          <w:sz w:val="30"/>
          <w:szCs w:val="30"/>
        </w:rPr>
        <w:t>条的约定，限制了作者的创作自由，剥夺了作者对作品名称可能享有的知名商品特有名称权益，应属无效。</w:t>
      </w:r>
    </w:p>
    <w:p w:rsidR="00D906DC" w:rsidRPr="007D6200" w:rsidRDefault="00D906DC" w:rsidP="005F3E79">
      <w:pPr>
        <w:adjustRightInd w:val="0"/>
        <w:snapToGrid w:val="0"/>
        <w:spacing w:line="520" w:lineRule="exact"/>
        <w:ind w:firstLineChars="200" w:firstLine="602"/>
        <w:rPr>
          <w:rFonts w:ascii="仿宋_GB2312" w:eastAsia="仿宋_GB2312"/>
          <w:b/>
          <w:bCs/>
          <w:sz w:val="30"/>
          <w:szCs w:val="30"/>
        </w:rPr>
      </w:pPr>
      <w:r w:rsidRPr="007D6200">
        <w:rPr>
          <w:rFonts w:ascii="仿宋_GB2312" w:eastAsia="仿宋_GB2312" w:hint="eastAsia"/>
          <w:b/>
          <w:bCs/>
          <w:sz w:val="30"/>
          <w:szCs w:val="30"/>
        </w:rPr>
        <w:t>【法院认为】</w:t>
      </w:r>
    </w:p>
    <w:p w:rsidR="00D906DC" w:rsidRPr="008443EC" w:rsidRDefault="00D906DC" w:rsidP="005F3E79">
      <w:pPr>
        <w:adjustRightInd w:val="0"/>
        <w:snapToGrid w:val="0"/>
        <w:spacing w:line="520" w:lineRule="exact"/>
        <w:ind w:firstLineChars="200" w:firstLine="600"/>
        <w:rPr>
          <w:rFonts w:ascii="仿宋_GB2312" w:eastAsia="仿宋_GB2312"/>
          <w:sz w:val="30"/>
          <w:szCs w:val="30"/>
        </w:rPr>
      </w:pPr>
      <w:r w:rsidRPr="008443EC">
        <w:rPr>
          <w:rFonts w:ascii="仿宋_GB2312" w:eastAsia="仿宋_GB2312" w:hint="eastAsia"/>
          <w:sz w:val="30"/>
          <w:szCs w:val="30"/>
        </w:rPr>
        <w:t>徐州中院一审认为：</w:t>
      </w:r>
    </w:p>
    <w:p w:rsidR="00D906DC" w:rsidRPr="008443EC" w:rsidRDefault="00D906DC" w:rsidP="005F3E79">
      <w:pPr>
        <w:adjustRightInd w:val="0"/>
        <w:snapToGrid w:val="0"/>
        <w:spacing w:line="520" w:lineRule="exact"/>
        <w:ind w:firstLineChars="200" w:firstLine="600"/>
        <w:rPr>
          <w:rFonts w:ascii="仿宋_GB2312" w:eastAsia="仿宋_GB2312"/>
          <w:sz w:val="30"/>
          <w:szCs w:val="30"/>
        </w:rPr>
      </w:pPr>
      <w:r w:rsidRPr="008443EC">
        <w:rPr>
          <w:rFonts w:ascii="仿宋_GB2312" w:eastAsia="仿宋_GB2312" w:hint="eastAsia"/>
          <w:sz w:val="30"/>
          <w:szCs w:val="30"/>
        </w:rPr>
        <w:t>关于“鬼吹灯”标识能否构成知名商品特有名称。《鬼吹灯》系列小说在中国境内具有极高的市场知名度，为相关公众广为知悉，属于《中华人民共和国反不正当竞争法》第五条第（二）项规定的“知名商品”。随着“鬼吹灯”系列小说的知名度和影响力不断攀升，“鬼吹灯”标识作为知名小说名称也逐渐具备了区分不同小说的显著性。时至今日，《鬼吹灯》系列小说已在相关公众间具备了极高的知名度和影响力，“鬼吹灯”作为小说名称亦同时与权利人的《鬼吹灯》（盗墓者的经历）、《鬼吹灯Ⅱ》作品建立起了稳定的对应关系，具备了区别商品来源的显著特征，构成了《中华人民共和国反不正当竞争法》第五条第（二）项所规定的“特有名称”。本案中，玄霆公司以及案外人多次在不同类别的商品上将“鬼吹灯”标识申请为注册商标，但</w:t>
      </w:r>
      <w:r w:rsidRPr="00B73A96">
        <w:rPr>
          <w:rFonts w:ascii="仿宋_GB2312" w:eastAsia="仿宋_GB2312" w:hint="eastAsia"/>
          <w:sz w:val="30"/>
          <w:szCs w:val="30"/>
        </w:rPr>
        <w:t>国家工商行政管理总局商标局（以下简称国家商标局）</w:t>
      </w:r>
      <w:r w:rsidRPr="008443EC">
        <w:rPr>
          <w:rFonts w:ascii="仿宋_GB2312" w:eastAsia="仿宋_GB2312" w:hint="eastAsia"/>
          <w:sz w:val="30"/>
          <w:szCs w:val="30"/>
        </w:rPr>
        <w:t>均以“鬼吹灯带有封建迷信色彩，用于商标易产生不良影响”为由予以了驳回。爱奇艺公</w:t>
      </w:r>
      <w:r w:rsidRPr="008443EC">
        <w:rPr>
          <w:rFonts w:ascii="仿宋_GB2312" w:eastAsia="仿宋_GB2312" w:hint="eastAsia"/>
          <w:sz w:val="30"/>
          <w:szCs w:val="30"/>
        </w:rPr>
        <w:lastRenderedPageBreak/>
        <w:t>司、东阳公司、张牧野亦以此为由主张“鬼吹灯”标识无法构成知名商品特有名称。但一审法院认为，商标审查系个案审查，相同或类似的标识在某一或某些申请中获得商标注册核准与否的事实，不能成为其在其他申请中当然获得商标注册核准与否的依据，众多带有“鬼”字的标识已经被合法注册为商标的事实也对此予以了印证。况且</w:t>
      </w:r>
      <w:r>
        <w:rPr>
          <w:rFonts w:ascii="仿宋_GB2312" w:eastAsia="仿宋_GB2312" w:hint="eastAsia"/>
          <w:sz w:val="30"/>
          <w:szCs w:val="30"/>
        </w:rPr>
        <w:t>国家</w:t>
      </w:r>
      <w:r w:rsidRPr="008443EC">
        <w:rPr>
          <w:rFonts w:ascii="仿宋_GB2312" w:eastAsia="仿宋_GB2312" w:hint="eastAsia"/>
          <w:sz w:val="30"/>
          <w:szCs w:val="30"/>
        </w:rPr>
        <w:t>商标局作出的上述驳回“鬼吹灯”商标注册的通知，均未经过</w:t>
      </w:r>
      <w:r w:rsidRPr="00B73A96">
        <w:rPr>
          <w:rFonts w:ascii="仿宋_GB2312" w:eastAsia="仿宋_GB2312" w:hint="eastAsia"/>
          <w:sz w:val="30"/>
          <w:szCs w:val="30"/>
        </w:rPr>
        <w:t>国家工商行政管理总局商标评审委员会</w:t>
      </w:r>
      <w:r w:rsidRPr="008443EC">
        <w:rPr>
          <w:rFonts w:ascii="仿宋_GB2312" w:eastAsia="仿宋_GB2312" w:hint="eastAsia"/>
          <w:sz w:val="30"/>
          <w:szCs w:val="30"/>
        </w:rPr>
        <w:t>复审及人民法院生效法律文书的确认。同时，某些标识在某一或某些商品类别上申请注册，具有不良影响，但在其他类别的商品上申请注册则不会产生不良影响，同一标识在申请商标注册时，是否具有不良影响，有时与商品类别有关。因此</w:t>
      </w:r>
      <w:r>
        <w:rPr>
          <w:rFonts w:ascii="仿宋_GB2312" w:eastAsia="仿宋_GB2312" w:hint="eastAsia"/>
          <w:sz w:val="30"/>
          <w:szCs w:val="30"/>
        </w:rPr>
        <w:t>国家</w:t>
      </w:r>
      <w:r w:rsidRPr="008443EC">
        <w:rPr>
          <w:rFonts w:ascii="仿宋_GB2312" w:eastAsia="仿宋_GB2312" w:hint="eastAsia"/>
          <w:sz w:val="30"/>
          <w:szCs w:val="30"/>
        </w:rPr>
        <w:t>商标局的驳回通知不能当然成为本案认定是否构成知名商品特有名称的依据。“鬼吹灯”标识作为小说名称是否具有封建迷信色彩，仍应从“鬼吹灯”一词的起源、作者在创作时使用“鬼吹灯”一词的目的、相关公众的一般认知、“鬼吹灯”标识作为涉案小说名称是否会对社会公共利益和公共秩序造成消极负面影响等方面予以综合判定。</w:t>
      </w:r>
    </w:p>
    <w:p w:rsidR="00D906DC" w:rsidRPr="008443EC" w:rsidRDefault="00D906DC" w:rsidP="005F3E79">
      <w:pPr>
        <w:adjustRightInd w:val="0"/>
        <w:snapToGrid w:val="0"/>
        <w:spacing w:line="520" w:lineRule="exact"/>
        <w:ind w:firstLineChars="200" w:firstLine="600"/>
        <w:rPr>
          <w:rFonts w:ascii="仿宋_GB2312" w:eastAsia="仿宋_GB2312"/>
          <w:sz w:val="30"/>
          <w:szCs w:val="30"/>
        </w:rPr>
      </w:pPr>
      <w:r w:rsidRPr="008443EC">
        <w:rPr>
          <w:rFonts w:ascii="仿宋_GB2312" w:eastAsia="仿宋_GB2312" w:hint="eastAsia"/>
          <w:sz w:val="30"/>
          <w:szCs w:val="30"/>
        </w:rPr>
        <w:t>关于如何确定知名商品特有名称归属。对于已经构成知名商品的特有名称而言，对商品知名、商品名称特有是否进行了长期、广泛、持续、规模的使用、宣传，应当成为判断其是否为该权益主体的标准。对商品知名、商品名称特有做出贡献的主体享有该权益，反之则不应成为该权益的主体。玄霆公司对《鬼吹灯》系列小说长期、广泛、持续、规模的宣传、运营产生的后果是，使《鬼吹灯》系列小说从“非知名商品”到“知名商品”，“鬼吹灯”作为小说名称从“不具有显著特征”到“具有显著特征”。张牧野没有对《鬼吹灯》系列小说进行长期、广泛、持续、规模的宣传、运营。玄霆公司才是知名商品特有名</w:t>
      </w:r>
      <w:r w:rsidRPr="008443EC">
        <w:rPr>
          <w:rFonts w:ascii="仿宋_GB2312" w:eastAsia="仿宋_GB2312" w:hint="eastAsia"/>
          <w:sz w:val="30"/>
          <w:szCs w:val="30"/>
        </w:rPr>
        <w:lastRenderedPageBreak/>
        <w:t>称的贡献主体，“鬼吹灯”作为小说名称的知名商品特有名称应归属于玄霆公司。玄霆徐州分公司通过受让行为成为了知名商品特有名称权益的主体。</w:t>
      </w:r>
    </w:p>
    <w:p w:rsidR="00D906DC" w:rsidRPr="008443EC" w:rsidRDefault="00D906DC" w:rsidP="005F3E79">
      <w:pPr>
        <w:adjustRightInd w:val="0"/>
        <w:snapToGrid w:val="0"/>
        <w:spacing w:line="520" w:lineRule="exact"/>
        <w:ind w:firstLineChars="200" w:firstLine="600"/>
        <w:rPr>
          <w:rFonts w:ascii="仿宋_GB2312" w:eastAsia="仿宋_GB2312"/>
          <w:sz w:val="30"/>
          <w:szCs w:val="30"/>
        </w:rPr>
      </w:pPr>
      <w:r w:rsidRPr="008443EC">
        <w:rPr>
          <w:rFonts w:ascii="仿宋_GB2312" w:eastAsia="仿宋_GB2312" w:hint="eastAsia"/>
          <w:sz w:val="30"/>
          <w:szCs w:val="30"/>
        </w:rPr>
        <w:t>爱奇艺公司、东阳公司、张牧野共同实施了擅自使用知名商品特有名称的不正当竞争行为，应当共同承担停止侵权、赔偿损失及合理维权费用的民事责任。爱奇艺公司同时实施了虚假宣传行为，亦应承担停止侵权、赔偿损失及维权合理费用的民事责任。综上，一审法院判决：爱奇艺公司、东阳公司、张牧野立即停止擅自使用知名商品特有名称的不正当竞争行为，即立即停止在《牧野诡事》网剧、片花中使用“鬼吹灯”作为商品名称的行为；爱奇艺公司赔偿玄霆徐州分公司</w:t>
      </w:r>
      <w:r w:rsidRPr="008443EC">
        <w:rPr>
          <w:rFonts w:ascii="仿宋_GB2312" w:eastAsia="仿宋_GB2312"/>
          <w:sz w:val="30"/>
          <w:szCs w:val="30"/>
        </w:rPr>
        <w:t>150</w:t>
      </w:r>
      <w:r w:rsidRPr="008443EC">
        <w:rPr>
          <w:rFonts w:ascii="仿宋_GB2312" w:eastAsia="仿宋_GB2312" w:hint="eastAsia"/>
          <w:sz w:val="30"/>
          <w:szCs w:val="30"/>
        </w:rPr>
        <w:t>万元，东阳公司、张牧野就其中的</w:t>
      </w:r>
      <w:r w:rsidRPr="008443EC">
        <w:rPr>
          <w:rFonts w:ascii="仿宋_GB2312" w:eastAsia="仿宋_GB2312"/>
          <w:sz w:val="30"/>
          <w:szCs w:val="30"/>
        </w:rPr>
        <w:t>110</w:t>
      </w:r>
      <w:r w:rsidRPr="008443EC">
        <w:rPr>
          <w:rFonts w:ascii="仿宋_GB2312" w:eastAsia="仿宋_GB2312" w:hint="eastAsia"/>
          <w:sz w:val="30"/>
          <w:szCs w:val="30"/>
        </w:rPr>
        <w:t>万元承担连带赔偿责任；爱奇艺公司、东阳公司、张牧野赔偿玄霆徐州分公司合理开支</w:t>
      </w:r>
      <w:r w:rsidRPr="008443EC">
        <w:rPr>
          <w:rFonts w:ascii="仿宋_GB2312" w:eastAsia="仿宋_GB2312"/>
          <w:sz w:val="30"/>
          <w:szCs w:val="30"/>
        </w:rPr>
        <w:t>8</w:t>
      </w:r>
      <w:r w:rsidRPr="008443EC">
        <w:rPr>
          <w:rFonts w:ascii="仿宋_GB2312" w:eastAsia="仿宋_GB2312" w:hint="eastAsia"/>
          <w:sz w:val="30"/>
          <w:szCs w:val="30"/>
        </w:rPr>
        <w:t>万元；驳回玄霆徐州分公司的其他诉讼请求。爱奇艺公司、东阳公司、张牧野不服一审判决，向江苏高院提起上诉。</w:t>
      </w:r>
    </w:p>
    <w:p w:rsidR="00D906DC" w:rsidRPr="008443EC" w:rsidRDefault="00D906DC" w:rsidP="005F3E79">
      <w:pPr>
        <w:adjustRightInd w:val="0"/>
        <w:snapToGrid w:val="0"/>
        <w:spacing w:line="520" w:lineRule="exact"/>
        <w:ind w:firstLineChars="200" w:firstLine="600"/>
        <w:rPr>
          <w:rFonts w:ascii="仿宋_GB2312" w:eastAsia="仿宋_GB2312"/>
          <w:sz w:val="30"/>
          <w:szCs w:val="30"/>
        </w:rPr>
      </w:pPr>
      <w:r w:rsidRPr="008443EC">
        <w:rPr>
          <w:rFonts w:ascii="仿宋_GB2312" w:eastAsia="仿宋_GB2312" w:hint="eastAsia"/>
          <w:sz w:val="30"/>
          <w:szCs w:val="30"/>
        </w:rPr>
        <w:t>江苏高院二审认为：</w:t>
      </w:r>
    </w:p>
    <w:p w:rsidR="00D906DC" w:rsidRPr="008443EC" w:rsidRDefault="00D906DC" w:rsidP="005F3E79">
      <w:pPr>
        <w:adjustRightInd w:val="0"/>
        <w:snapToGrid w:val="0"/>
        <w:spacing w:line="520" w:lineRule="exact"/>
        <w:ind w:firstLineChars="200" w:firstLine="600"/>
        <w:rPr>
          <w:rFonts w:ascii="仿宋_GB2312" w:eastAsia="仿宋_GB2312"/>
          <w:sz w:val="30"/>
          <w:szCs w:val="30"/>
        </w:rPr>
      </w:pPr>
      <w:r w:rsidRPr="008443EC">
        <w:rPr>
          <w:rFonts w:ascii="仿宋_GB2312" w:eastAsia="仿宋_GB2312" w:hint="eastAsia"/>
          <w:sz w:val="30"/>
          <w:szCs w:val="30"/>
        </w:rPr>
        <w:t>关于“鬼吹灯”标识构成知名商品特有名称。第一，“鬼吹灯”作为涉案系列作品名称或其中的一部分具有合法性和正当性。除认同一审的有关判决理由外，二审法院认为涉案《鬼吹灯》系列小说的发表、出版发行以及相关网剧的发行，得以通过版权、广电等主管部门的审核和行政许可，也进一步印证了“鬼吹灯”标识作为涉案系列小说和涉案网剧的名称或名称的主要部分并不具有封建迷信色彩。可见，标识作为作品的名称其具体含义及是否具有不良影响需要结合该作品的内容综合判断，这与作为区分商品和服务来源的商标能否注册的判断标准有着本质不同。故商标主管机关基于商标注册原则，作出关于“鬼</w:t>
      </w:r>
      <w:r w:rsidRPr="008443EC">
        <w:rPr>
          <w:rFonts w:ascii="仿宋_GB2312" w:eastAsia="仿宋_GB2312" w:hint="eastAsia"/>
          <w:sz w:val="30"/>
          <w:szCs w:val="30"/>
        </w:rPr>
        <w:lastRenderedPageBreak/>
        <w:t>吹灯”标识具有不良影响而不予注册的决定，并不影响本案“鬼吹灯”标识可以构成知名商品特有名称的认定。第二，“鬼吹灯”涉案系列作品具有较高市场知名度是客观事实。本案中，大量证据证明“鬼吹灯”涉案系列作品具有较高市场知名度，对相关公众而言，“鬼吹灯”标识与该系列小说建立了稳定的对应关系，具备了区分不同小说的显著性。综上，二审法院认定“鬼吹灯”标识构成知名商品特有名称，首先是基于涉案系列作品知名度的客观事实；其次，考虑“鬼吹灯”标识本身不具有违法性，其作为涉案系列作品的名称或名称的主要部分在版权、广电等主管部门得到审核和行政许可；最后，基于“鬼吹灯”标识作为涉案系列作品的名称或名称的主要部分经过长期使用形成了《反不正当竞争法》应予保护的法益。</w:t>
      </w:r>
    </w:p>
    <w:p w:rsidR="00D906DC" w:rsidRPr="008443EC" w:rsidRDefault="00D906DC" w:rsidP="005F3E79">
      <w:pPr>
        <w:adjustRightInd w:val="0"/>
        <w:snapToGrid w:val="0"/>
        <w:spacing w:line="520" w:lineRule="exact"/>
        <w:ind w:firstLineChars="200" w:firstLine="600"/>
        <w:rPr>
          <w:rFonts w:ascii="仿宋_GB2312" w:eastAsia="仿宋_GB2312"/>
          <w:sz w:val="30"/>
          <w:szCs w:val="30"/>
        </w:rPr>
      </w:pPr>
      <w:r w:rsidRPr="008443EC">
        <w:rPr>
          <w:rFonts w:ascii="仿宋_GB2312" w:eastAsia="仿宋_GB2312" w:hint="eastAsia"/>
          <w:sz w:val="30"/>
          <w:szCs w:val="30"/>
        </w:rPr>
        <w:t>关于“鬼吹灯”标识作为涉案《鬼吹灯》系列小说特有名称的相关权益应归属玄霆公司。首先，涉案《协议书》并不违反法律、行政法规的禁止性规定。至于涉案《协议书》第</w:t>
      </w:r>
      <w:r w:rsidRPr="008443EC">
        <w:rPr>
          <w:rFonts w:ascii="仿宋_GB2312" w:eastAsia="仿宋_GB2312"/>
          <w:sz w:val="30"/>
          <w:szCs w:val="30"/>
        </w:rPr>
        <w:t>4.2.5</w:t>
      </w:r>
      <w:r w:rsidRPr="008443EC">
        <w:rPr>
          <w:rFonts w:ascii="仿宋_GB2312" w:eastAsia="仿宋_GB2312" w:hint="eastAsia"/>
          <w:sz w:val="30"/>
          <w:szCs w:val="30"/>
        </w:rPr>
        <w:t>条还约定：“在本协议有效期内及本协议履行完毕后，乙方</w:t>
      </w:r>
      <w:r w:rsidRPr="008443EC">
        <w:rPr>
          <w:rFonts w:ascii="仿宋_GB2312" w:eastAsia="仿宋_GB2312"/>
          <w:sz w:val="30"/>
          <w:szCs w:val="30"/>
        </w:rPr>
        <w:t>(</w:t>
      </w:r>
      <w:r w:rsidRPr="008443EC">
        <w:rPr>
          <w:rFonts w:ascii="仿宋_GB2312" w:eastAsia="仿宋_GB2312" w:hint="eastAsia"/>
          <w:sz w:val="30"/>
          <w:szCs w:val="30"/>
        </w:rPr>
        <w:t>张牧野</w:t>
      </w:r>
      <w:r w:rsidRPr="008443EC">
        <w:rPr>
          <w:rFonts w:ascii="仿宋_GB2312" w:eastAsia="仿宋_GB2312"/>
          <w:sz w:val="30"/>
          <w:szCs w:val="30"/>
        </w:rPr>
        <w:t>)</w:t>
      </w:r>
      <w:r w:rsidRPr="008443EC">
        <w:rPr>
          <w:rFonts w:ascii="仿宋_GB2312" w:eastAsia="仿宋_GB2312" w:hint="eastAsia"/>
          <w:sz w:val="30"/>
          <w:szCs w:val="30"/>
        </w:rPr>
        <w:t>不得使用其本名、笔名或其中任何一个以与本作品名相同或相似的创作作品或作为作品中主要章节的标题。”对于该约定是否限制了张牧野再创作的人身权利，二审法院认为，从内容来看，该条款应当解释为，其限制的是张牧野在使用其本名、笔名或其中任何一个创作作品时，不得同时使用与《鬼吹灯》涉案作品名称相同或相似的名称，作为其将来所创作作品的名称或主要章节的标题。由此可见，该条款约定并未限制张牧野使用其本名、笔名创作同类型悬疑盗墓类题材的作品以及其他题材作品，只是限制其不得使用“鬼吹灯”作为作品名称或主要章节标题。故上述约定仅针对作品名称和标题，并不针对张牧野所有的创作活动和创作</w:t>
      </w:r>
      <w:r w:rsidRPr="008443EC">
        <w:rPr>
          <w:rFonts w:ascii="仿宋_GB2312" w:eastAsia="仿宋_GB2312" w:hint="eastAsia"/>
          <w:sz w:val="30"/>
          <w:szCs w:val="30"/>
        </w:rPr>
        <w:lastRenderedPageBreak/>
        <w:t>内容，亦不违背《著作权法》鼓励创作的立法宗旨。其次，涉案《协议书》对双方权利和义务的约定符合公平原则。本案中，玄霆公司的商业模式为：在发现有潜力的作品后，与作者签订授权协议或著作财产权转让协议，之后对作品进行商业改编、开发和推广，进而获取作品成功运营后的收益。这也是互联网时代文化产业发展中一种常见的商业模式。在这一过程中，玄霆公司前期需要进行大量的投入如作品的购买成本、宣传推广成本等。如果商业运营成功，固然能获得较高的收益；反之，作品推广失败，商业风险亦由玄霆公司自行承担。综上所述，鉴于涉案《协议书》不违反《著作权法》禁止性规定，协议合法有效，双方均应基于诚实信用原则依法履行合同。本案中，张牧野在签订合同时理应知晓协议作品著作权相关财产权利转让的法律后果，因而其不能在玄霆公司商业运营成功后又违反当初约定，主张“鬼吹灯”标识的相关权益归己所有。在此，二审法院强调当事人应当遵守作品财产权转让合同的约定，维护契约精神，体现了促进网络原创文学合法商业模式发展的基本价值导向。二审法院遂驳回上诉，维持原判。</w:t>
      </w:r>
    </w:p>
    <w:p w:rsidR="00D906DC" w:rsidRPr="007D6200" w:rsidRDefault="00D906DC" w:rsidP="005F3E79">
      <w:pPr>
        <w:adjustRightInd w:val="0"/>
        <w:snapToGrid w:val="0"/>
        <w:spacing w:line="520" w:lineRule="exact"/>
        <w:ind w:firstLineChars="200" w:firstLine="602"/>
        <w:rPr>
          <w:rFonts w:ascii="仿宋_GB2312" w:eastAsia="仿宋_GB2312"/>
          <w:b/>
          <w:bCs/>
          <w:sz w:val="30"/>
          <w:szCs w:val="30"/>
        </w:rPr>
      </w:pPr>
      <w:r w:rsidRPr="007D6200">
        <w:rPr>
          <w:rFonts w:ascii="仿宋_GB2312" w:eastAsia="仿宋_GB2312" w:hint="eastAsia"/>
          <w:b/>
          <w:bCs/>
          <w:sz w:val="30"/>
          <w:szCs w:val="30"/>
        </w:rPr>
        <w:t>【典型意义】</w:t>
      </w:r>
    </w:p>
    <w:p w:rsidR="00D906DC" w:rsidRDefault="00D906DC" w:rsidP="005F3E79">
      <w:pPr>
        <w:adjustRightInd w:val="0"/>
        <w:snapToGrid w:val="0"/>
        <w:spacing w:line="520" w:lineRule="exact"/>
        <w:ind w:firstLineChars="200" w:firstLine="600"/>
        <w:rPr>
          <w:rFonts w:ascii="仿宋_GB2312" w:eastAsia="仿宋_GB2312"/>
          <w:sz w:val="30"/>
          <w:szCs w:val="30"/>
        </w:rPr>
      </w:pPr>
      <w:r w:rsidRPr="008443EC">
        <w:rPr>
          <w:rFonts w:ascii="仿宋_GB2312" w:eastAsia="仿宋_GB2312" w:hint="eastAsia"/>
          <w:sz w:val="30"/>
          <w:szCs w:val="30"/>
        </w:rPr>
        <w:t>本案系一起新类型不正当竞争纠纷，涉及“鬼吹灯”系列知名作品名称的反不正当竞争法保护问题，被评为</w:t>
      </w:r>
      <w:r w:rsidRPr="008443EC">
        <w:rPr>
          <w:rFonts w:ascii="仿宋_GB2312" w:eastAsia="仿宋_GB2312"/>
          <w:sz w:val="30"/>
          <w:szCs w:val="30"/>
        </w:rPr>
        <w:t>2019</w:t>
      </w:r>
      <w:r w:rsidRPr="008443EC">
        <w:rPr>
          <w:rFonts w:ascii="仿宋_GB2312" w:eastAsia="仿宋_GB2312" w:hint="eastAsia"/>
          <w:sz w:val="30"/>
          <w:szCs w:val="30"/>
        </w:rPr>
        <w:t>年十大娱乐法案例之一。本案中，玄霆公司与本案被告之一张牧野签订有关于“鬼吹灯”系列小说的著作权转让协议，受让了张牧野除人身权以外的著作财产权。经过玄霆公司的商业运营，“鬼吹灯”系列小说获得了极高市场知名度，产生了巨大经济效益。于是，市场上一些主体纷纷利用“鬼吹灯”标识的影响，争相获取相应的经济利益。</w:t>
      </w:r>
    </w:p>
    <w:p w:rsidR="00D906DC" w:rsidRPr="008443EC" w:rsidRDefault="00D906DC" w:rsidP="005F3E79">
      <w:pPr>
        <w:adjustRightInd w:val="0"/>
        <w:snapToGrid w:val="0"/>
        <w:spacing w:line="520" w:lineRule="exact"/>
        <w:ind w:firstLineChars="200" w:firstLine="600"/>
        <w:rPr>
          <w:rFonts w:ascii="仿宋_GB2312" w:eastAsia="仿宋_GB2312"/>
          <w:sz w:val="30"/>
          <w:szCs w:val="30"/>
        </w:rPr>
      </w:pPr>
      <w:r w:rsidRPr="008443EC">
        <w:rPr>
          <w:rFonts w:ascii="仿宋_GB2312" w:eastAsia="仿宋_GB2312" w:hint="eastAsia"/>
          <w:sz w:val="30"/>
          <w:szCs w:val="30"/>
        </w:rPr>
        <w:lastRenderedPageBreak/>
        <w:t>本案判决的</w:t>
      </w:r>
      <w:r>
        <w:rPr>
          <w:rFonts w:ascii="仿宋_GB2312" w:eastAsia="仿宋_GB2312" w:hint="eastAsia"/>
          <w:sz w:val="30"/>
          <w:szCs w:val="30"/>
        </w:rPr>
        <w:t>典型意义</w:t>
      </w:r>
      <w:r w:rsidRPr="008443EC">
        <w:rPr>
          <w:rFonts w:ascii="仿宋_GB2312" w:eastAsia="仿宋_GB2312" w:hint="eastAsia"/>
          <w:sz w:val="30"/>
          <w:szCs w:val="30"/>
        </w:rPr>
        <w:t>在于：</w:t>
      </w:r>
    </w:p>
    <w:p w:rsidR="00D906DC" w:rsidRPr="008443EC" w:rsidRDefault="00D906DC" w:rsidP="005F3E79">
      <w:pPr>
        <w:adjustRightInd w:val="0"/>
        <w:snapToGrid w:val="0"/>
        <w:spacing w:line="520" w:lineRule="exact"/>
        <w:ind w:firstLineChars="200" w:firstLine="600"/>
        <w:rPr>
          <w:rFonts w:ascii="仿宋_GB2312" w:eastAsia="仿宋_GB2312"/>
          <w:sz w:val="30"/>
          <w:szCs w:val="30"/>
        </w:rPr>
      </w:pPr>
      <w:r>
        <w:rPr>
          <w:rFonts w:ascii="仿宋_GB2312" w:eastAsia="仿宋_GB2312"/>
          <w:sz w:val="30"/>
          <w:szCs w:val="30"/>
        </w:rPr>
        <w:t>1.</w:t>
      </w:r>
      <w:r w:rsidRPr="008443EC">
        <w:rPr>
          <w:rFonts w:ascii="仿宋_GB2312" w:eastAsia="仿宋_GB2312" w:hint="eastAsia"/>
          <w:sz w:val="30"/>
          <w:szCs w:val="30"/>
        </w:rPr>
        <w:t>明确认定了作品名称可以作为知名商品特有名称或者新修订反</w:t>
      </w:r>
      <w:r>
        <w:rPr>
          <w:rFonts w:ascii="仿宋_GB2312" w:eastAsia="仿宋_GB2312" w:hint="eastAsia"/>
          <w:sz w:val="30"/>
          <w:szCs w:val="30"/>
        </w:rPr>
        <w:t>不正当竞争</w:t>
      </w:r>
      <w:r w:rsidRPr="008443EC">
        <w:rPr>
          <w:rFonts w:ascii="仿宋_GB2312" w:eastAsia="仿宋_GB2312" w:hint="eastAsia"/>
          <w:sz w:val="30"/>
          <w:szCs w:val="30"/>
        </w:rPr>
        <w:t>法中有一定影响的商业标识给予保护。一、二审判决从司法解释中“知名商品”认定标准出发，以作品经过权利人长期、广泛、持续、</w:t>
      </w:r>
      <w:r>
        <w:rPr>
          <w:rFonts w:ascii="仿宋_GB2312" w:eastAsia="仿宋_GB2312" w:hint="eastAsia"/>
          <w:sz w:val="30"/>
          <w:szCs w:val="30"/>
        </w:rPr>
        <w:t>大</w:t>
      </w:r>
      <w:r w:rsidRPr="008443EC">
        <w:rPr>
          <w:rFonts w:ascii="仿宋_GB2312" w:eastAsia="仿宋_GB2312" w:hint="eastAsia"/>
          <w:sz w:val="30"/>
          <w:szCs w:val="30"/>
        </w:rPr>
        <w:t>规模的使用、宣传，具有较高的知名度和影响力，能够产生较大商业价值，其名称与作品</w:t>
      </w:r>
      <w:r>
        <w:rPr>
          <w:rFonts w:ascii="仿宋_GB2312" w:eastAsia="仿宋_GB2312" w:hint="eastAsia"/>
          <w:sz w:val="30"/>
          <w:szCs w:val="30"/>
        </w:rPr>
        <w:t>之间</w:t>
      </w:r>
      <w:r w:rsidRPr="008443EC">
        <w:rPr>
          <w:rFonts w:ascii="仿宋_GB2312" w:eastAsia="仿宋_GB2312" w:hint="eastAsia"/>
          <w:sz w:val="30"/>
          <w:szCs w:val="30"/>
        </w:rPr>
        <w:t>建立了稳定的对应关系，具备了区分不同小说的显著性等作为衡量标准来认定作品为知名商品，其名称成为特有名称。</w:t>
      </w:r>
    </w:p>
    <w:p w:rsidR="00D906DC" w:rsidRPr="008443EC" w:rsidRDefault="00D906DC" w:rsidP="005F3E79">
      <w:pPr>
        <w:adjustRightInd w:val="0"/>
        <w:snapToGrid w:val="0"/>
        <w:spacing w:line="520" w:lineRule="exact"/>
        <w:ind w:firstLineChars="200" w:firstLine="600"/>
        <w:rPr>
          <w:rFonts w:ascii="仿宋_GB2312" w:eastAsia="仿宋_GB2312"/>
          <w:sz w:val="30"/>
          <w:szCs w:val="30"/>
        </w:rPr>
      </w:pPr>
      <w:r>
        <w:rPr>
          <w:rFonts w:ascii="仿宋_GB2312" w:eastAsia="仿宋_GB2312"/>
          <w:sz w:val="30"/>
          <w:szCs w:val="30"/>
        </w:rPr>
        <w:t>2.</w:t>
      </w:r>
      <w:r w:rsidRPr="008443EC">
        <w:rPr>
          <w:rFonts w:ascii="仿宋_GB2312" w:eastAsia="仿宋_GB2312" w:hint="eastAsia"/>
          <w:sz w:val="30"/>
          <w:szCs w:val="30"/>
        </w:rPr>
        <w:t>从作品与商标的本质特性出发，明晰了商标注册审查中的“不良影响”对作品名称作为知名商品特有名称保护的影响。本案被告认为，“鬼吹灯”一词带有封建迷信色彩，相应的“鬼吹灯”商标申请被商标主管机关以不良影响为由多次驳回，故不能构成知名商品特有名称。对此，一、二审判决明确认为，作品名称是否具有不良影响的认定与作为区分商品和服务来源的商标能否注册的判断标准有着本质不同。</w:t>
      </w:r>
      <w:r>
        <w:rPr>
          <w:rFonts w:ascii="仿宋_GB2312" w:eastAsia="仿宋_GB2312" w:hint="eastAsia"/>
          <w:sz w:val="30"/>
          <w:szCs w:val="30"/>
        </w:rPr>
        <w:t>国家</w:t>
      </w:r>
      <w:r w:rsidRPr="008443EC">
        <w:rPr>
          <w:rFonts w:ascii="仿宋_GB2312" w:eastAsia="仿宋_GB2312" w:hint="eastAsia"/>
          <w:sz w:val="30"/>
          <w:szCs w:val="30"/>
        </w:rPr>
        <w:t>商标局的驳回通知不能当然成为认定作品名称</w:t>
      </w:r>
      <w:r>
        <w:rPr>
          <w:rFonts w:ascii="仿宋_GB2312" w:eastAsia="仿宋_GB2312" w:hint="eastAsia"/>
          <w:sz w:val="30"/>
          <w:szCs w:val="30"/>
        </w:rPr>
        <w:t>不</w:t>
      </w:r>
      <w:r w:rsidRPr="008443EC">
        <w:rPr>
          <w:rFonts w:ascii="仿宋_GB2312" w:eastAsia="仿宋_GB2312" w:hint="eastAsia"/>
          <w:sz w:val="30"/>
          <w:szCs w:val="30"/>
        </w:rPr>
        <w:t>构成知名商品特有名称的依据。“鬼吹灯”标识作为小说名称是否具有封建迷信色彩，仍应从“鬼吹灯”一词的起源、作者在创作时使用“鬼吹灯”一词的目的、相关公众的一般认知、“鬼吹灯”标识作为涉案小说名称是否会对社会公共利益和公共秩序造成消极负面影响等方面予以综合判定。这种裁判思路事实上回归了作品本质属性。</w:t>
      </w:r>
    </w:p>
    <w:p w:rsidR="00D906DC" w:rsidRPr="008443EC" w:rsidRDefault="00D906DC" w:rsidP="005F3E79">
      <w:pPr>
        <w:adjustRightInd w:val="0"/>
        <w:snapToGrid w:val="0"/>
        <w:spacing w:line="520" w:lineRule="exact"/>
        <w:ind w:firstLineChars="200" w:firstLine="600"/>
        <w:rPr>
          <w:rFonts w:ascii="仿宋_GB2312" w:eastAsia="仿宋_GB2312"/>
          <w:sz w:val="30"/>
          <w:szCs w:val="30"/>
        </w:rPr>
      </w:pPr>
      <w:r>
        <w:rPr>
          <w:rFonts w:ascii="仿宋_GB2312" w:eastAsia="仿宋_GB2312"/>
          <w:sz w:val="30"/>
          <w:szCs w:val="30"/>
        </w:rPr>
        <w:t>3.</w:t>
      </w:r>
      <w:r w:rsidRPr="008443EC">
        <w:rPr>
          <w:rFonts w:ascii="仿宋_GB2312" w:eastAsia="仿宋_GB2312" w:hint="eastAsia"/>
          <w:sz w:val="30"/>
          <w:szCs w:val="30"/>
        </w:rPr>
        <w:t>结合</w:t>
      </w:r>
      <w:r>
        <w:rPr>
          <w:rFonts w:ascii="仿宋_GB2312" w:eastAsia="仿宋_GB2312" w:hint="eastAsia"/>
          <w:sz w:val="30"/>
          <w:szCs w:val="30"/>
        </w:rPr>
        <w:t>契约</w:t>
      </w:r>
      <w:r w:rsidRPr="008443EC">
        <w:rPr>
          <w:rFonts w:ascii="仿宋_GB2312" w:eastAsia="仿宋_GB2312" w:hint="eastAsia"/>
          <w:sz w:val="30"/>
          <w:szCs w:val="30"/>
        </w:rPr>
        <w:t>自治，并以对作品名称知名度形成的贡献度来确认知名作品名称相关权益的归属。一、二审判决除依据双方协议约定外，还明确：对于已经构成知名商品的特有名称而言，对商品知名、商品名称特有是否进行了长期、广泛、持续、</w:t>
      </w:r>
      <w:r>
        <w:rPr>
          <w:rFonts w:ascii="仿宋_GB2312" w:eastAsia="仿宋_GB2312" w:hint="eastAsia"/>
          <w:sz w:val="30"/>
          <w:szCs w:val="30"/>
        </w:rPr>
        <w:t>大</w:t>
      </w:r>
      <w:r w:rsidRPr="008443EC">
        <w:rPr>
          <w:rFonts w:ascii="仿宋_GB2312" w:eastAsia="仿宋_GB2312" w:hint="eastAsia"/>
          <w:sz w:val="30"/>
          <w:szCs w:val="30"/>
        </w:rPr>
        <w:t>规模的使用、宣传，应当</w:t>
      </w:r>
      <w:r w:rsidRPr="008443EC">
        <w:rPr>
          <w:rFonts w:ascii="仿宋_GB2312" w:eastAsia="仿宋_GB2312" w:hint="eastAsia"/>
          <w:sz w:val="30"/>
          <w:szCs w:val="30"/>
        </w:rPr>
        <w:lastRenderedPageBreak/>
        <w:t>成为判断其是否为该权益主体的标准。对商品知名、商品名称特有做出贡献的主体享有该权益，反之则不应成为该权益的主体。根据这一标准，判决最终认定玄霆公司享有“鬼吹灯”名称相关权益。</w:t>
      </w:r>
    </w:p>
    <w:p w:rsidR="00D906DC" w:rsidRPr="008443EC" w:rsidRDefault="00D906DC" w:rsidP="005F3E79">
      <w:pPr>
        <w:adjustRightInd w:val="0"/>
        <w:snapToGrid w:val="0"/>
        <w:spacing w:line="520" w:lineRule="exact"/>
        <w:ind w:firstLineChars="200" w:firstLine="600"/>
        <w:rPr>
          <w:rFonts w:ascii="仿宋_GB2312" w:eastAsia="仿宋_GB2312"/>
          <w:sz w:val="30"/>
          <w:szCs w:val="30"/>
        </w:rPr>
      </w:pPr>
      <w:r>
        <w:rPr>
          <w:rFonts w:ascii="仿宋_GB2312" w:eastAsia="仿宋_GB2312"/>
          <w:sz w:val="30"/>
          <w:szCs w:val="30"/>
        </w:rPr>
        <w:t>4.</w:t>
      </w:r>
      <w:r w:rsidRPr="008443EC">
        <w:rPr>
          <w:rFonts w:ascii="仿宋_GB2312" w:eastAsia="仿宋_GB2312" w:hint="eastAsia"/>
          <w:sz w:val="30"/>
          <w:szCs w:val="30"/>
        </w:rPr>
        <w:t>从网络时代文化产业发展常见商业运营模式</w:t>
      </w:r>
      <w:r>
        <w:rPr>
          <w:rFonts w:ascii="仿宋_GB2312" w:eastAsia="仿宋_GB2312" w:hint="eastAsia"/>
          <w:sz w:val="30"/>
          <w:szCs w:val="30"/>
        </w:rPr>
        <w:t>来</w:t>
      </w:r>
      <w:r w:rsidRPr="008443EC">
        <w:rPr>
          <w:rFonts w:ascii="仿宋_GB2312" w:eastAsia="仿宋_GB2312" w:hint="eastAsia"/>
          <w:sz w:val="30"/>
          <w:szCs w:val="30"/>
        </w:rPr>
        <w:t>认定知名作品名称权益的归属，有利于促进这种商业模式发展。一、二审判决明确了互联网时代文化产业发展常见的商业运营模式为：在发现有潜力的作品后，与作者签订授权协议或著作财产权转让协议，之后对作品进行商业改编、开发和推广，进而获取作品成功运营后的收益。因此，本案判决是对这种常见商业模式及商业惯例的认可，有助于激发网络文化商业模式运营者的积极性，从而促进这一新型商业模式的健康发展。</w:t>
      </w:r>
    </w:p>
    <w:p w:rsidR="00D906DC" w:rsidRPr="008443EC" w:rsidRDefault="00D906DC" w:rsidP="005F3E79">
      <w:pPr>
        <w:adjustRightInd w:val="0"/>
        <w:snapToGrid w:val="0"/>
        <w:spacing w:line="520" w:lineRule="exact"/>
        <w:ind w:firstLineChars="200" w:firstLine="600"/>
        <w:rPr>
          <w:rFonts w:ascii="仿宋_GB2312" w:eastAsia="仿宋_GB2312"/>
          <w:sz w:val="30"/>
          <w:szCs w:val="30"/>
        </w:rPr>
      </w:pPr>
      <w:r>
        <w:rPr>
          <w:rFonts w:ascii="仿宋_GB2312" w:eastAsia="仿宋_GB2312"/>
          <w:sz w:val="30"/>
          <w:szCs w:val="30"/>
        </w:rPr>
        <w:t>5.</w:t>
      </w:r>
      <w:r w:rsidRPr="008443EC">
        <w:rPr>
          <w:rFonts w:ascii="仿宋_GB2312" w:eastAsia="仿宋_GB2312" w:hint="eastAsia"/>
          <w:sz w:val="30"/>
          <w:szCs w:val="30"/>
        </w:rPr>
        <w:t>明确将作品名称使用权与具有作者人身属性的署名权相区分，从而并不限制作者利用其本名或笔名再创作的自由。</w:t>
      </w:r>
    </w:p>
    <w:p w:rsidR="00D906DC" w:rsidRPr="008443EC" w:rsidRDefault="00D906DC" w:rsidP="005F3E79">
      <w:pPr>
        <w:adjustRightInd w:val="0"/>
        <w:snapToGrid w:val="0"/>
        <w:spacing w:line="520" w:lineRule="exact"/>
        <w:ind w:firstLineChars="200" w:firstLine="600"/>
        <w:rPr>
          <w:rFonts w:ascii="仿宋_GB2312" w:eastAsia="仿宋_GB2312"/>
          <w:sz w:val="30"/>
          <w:szCs w:val="30"/>
        </w:rPr>
      </w:pPr>
      <w:r w:rsidRPr="008443EC">
        <w:rPr>
          <w:rFonts w:ascii="仿宋_GB2312" w:eastAsia="仿宋_GB2312" w:hint="eastAsia"/>
          <w:sz w:val="30"/>
          <w:szCs w:val="30"/>
        </w:rPr>
        <w:t>本案的判决，划清了著作权法领域作者的创作贡献与反不正当竞争法领域</w:t>
      </w:r>
      <w:r>
        <w:rPr>
          <w:rFonts w:ascii="仿宋_GB2312" w:eastAsia="仿宋_GB2312" w:hint="eastAsia"/>
          <w:sz w:val="30"/>
          <w:szCs w:val="30"/>
        </w:rPr>
        <w:t>将</w:t>
      </w:r>
      <w:r w:rsidRPr="008443EC">
        <w:rPr>
          <w:rFonts w:ascii="仿宋_GB2312" w:eastAsia="仿宋_GB2312" w:hint="eastAsia"/>
          <w:sz w:val="30"/>
          <w:szCs w:val="30"/>
        </w:rPr>
        <w:t>普通作品</w:t>
      </w:r>
      <w:r>
        <w:rPr>
          <w:rFonts w:ascii="仿宋_GB2312" w:eastAsia="仿宋_GB2312" w:hint="eastAsia"/>
          <w:sz w:val="30"/>
          <w:szCs w:val="30"/>
        </w:rPr>
        <w:t>培育</w:t>
      </w:r>
      <w:r w:rsidRPr="008443EC">
        <w:rPr>
          <w:rFonts w:ascii="仿宋_GB2312" w:eastAsia="仿宋_GB2312" w:hint="eastAsia"/>
          <w:sz w:val="30"/>
          <w:szCs w:val="30"/>
        </w:rPr>
        <w:t>成知名</w:t>
      </w:r>
      <w:r>
        <w:rPr>
          <w:rFonts w:ascii="仿宋_GB2312" w:eastAsia="仿宋_GB2312" w:hint="eastAsia"/>
          <w:sz w:val="30"/>
          <w:szCs w:val="30"/>
        </w:rPr>
        <w:t>作</w:t>
      </w:r>
      <w:r w:rsidRPr="008443EC">
        <w:rPr>
          <w:rFonts w:ascii="仿宋_GB2312" w:eastAsia="仿宋_GB2312" w:hint="eastAsia"/>
          <w:sz w:val="30"/>
          <w:szCs w:val="30"/>
        </w:rPr>
        <w:t>品的商业贡献的界限，体现了促进互联网环境下文化的传播与发展、促进网络原创文学合法商业模式发展、促进作者、网站、平台等相关主体间利益平衡的基本价值导向，对类似案件的处理具有借鉴意义。</w:t>
      </w:r>
    </w:p>
    <w:p w:rsidR="00D906DC" w:rsidRPr="00557533" w:rsidRDefault="00D906DC" w:rsidP="00E711DA">
      <w:pPr>
        <w:pStyle w:val="1"/>
      </w:pPr>
      <w:r>
        <w:br w:type="page"/>
      </w:r>
      <w:bookmarkStart w:id="16" w:name="_Toc38029055"/>
      <w:r>
        <w:lastRenderedPageBreak/>
        <w:t>7</w:t>
      </w:r>
      <w:r w:rsidRPr="00557533">
        <w:t>.</w:t>
      </w:r>
      <w:r w:rsidRPr="00557533">
        <w:rPr>
          <w:rFonts w:hint="eastAsia"/>
        </w:rPr>
        <w:t>基于恶意投诉申请先予恢复被删除</w:t>
      </w:r>
      <w:r>
        <w:rPr>
          <w:rFonts w:hint="eastAsia"/>
        </w:rPr>
        <w:t>网络销售</w:t>
      </w:r>
      <w:r w:rsidRPr="00557533">
        <w:rPr>
          <w:rFonts w:hint="eastAsia"/>
        </w:rPr>
        <w:t>链接</w:t>
      </w:r>
      <w:r>
        <w:rPr>
          <w:rFonts w:hint="eastAsia"/>
        </w:rPr>
        <w:t>案</w:t>
      </w:r>
      <w:bookmarkEnd w:id="16"/>
    </w:p>
    <w:p w:rsidR="00D906DC" w:rsidRPr="00557533" w:rsidRDefault="00D906DC" w:rsidP="00E711DA">
      <w:pPr>
        <w:pStyle w:val="2"/>
      </w:pPr>
      <w:bookmarkStart w:id="17" w:name="_Toc38029056"/>
      <w:r>
        <w:t>——</w:t>
      </w:r>
      <w:r w:rsidRPr="00557533">
        <w:rPr>
          <w:rFonts w:hint="eastAsia"/>
        </w:rPr>
        <w:t>郑州曳头网络科技有限公司与丁晓梅、浙江天猫网络有限公司等侵害外观设计专利权先予执行案</w:t>
      </w:r>
      <w:bookmarkEnd w:id="17"/>
    </w:p>
    <w:p w:rsidR="00D906DC" w:rsidRPr="00557533" w:rsidRDefault="00D906DC" w:rsidP="005F3E79">
      <w:pPr>
        <w:adjustRightInd w:val="0"/>
        <w:snapToGrid w:val="0"/>
        <w:spacing w:line="520" w:lineRule="exact"/>
        <w:ind w:firstLineChars="200" w:firstLine="600"/>
        <w:rPr>
          <w:rFonts w:ascii="仿宋_GB2312" w:eastAsia="仿宋_GB2312"/>
          <w:sz w:val="30"/>
          <w:szCs w:val="30"/>
        </w:rPr>
      </w:pPr>
    </w:p>
    <w:p w:rsidR="00D906DC" w:rsidRPr="00557533" w:rsidRDefault="00D906DC" w:rsidP="005F3E79">
      <w:pPr>
        <w:adjustRightInd w:val="0"/>
        <w:snapToGrid w:val="0"/>
        <w:spacing w:line="520" w:lineRule="exact"/>
        <w:ind w:firstLineChars="200" w:firstLine="602"/>
        <w:rPr>
          <w:rFonts w:ascii="仿宋_GB2312" w:eastAsia="仿宋_GB2312"/>
          <w:b/>
          <w:bCs/>
          <w:sz w:val="30"/>
          <w:szCs w:val="30"/>
        </w:rPr>
      </w:pPr>
      <w:r w:rsidRPr="00557533">
        <w:rPr>
          <w:rFonts w:ascii="仿宋_GB2312" w:eastAsia="仿宋_GB2312" w:hint="eastAsia"/>
          <w:b/>
          <w:bCs/>
          <w:sz w:val="30"/>
          <w:szCs w:val="30"/>
        </w:rPr>
        <w:t>【案件信息】</w:t>
      </w:r>
    </w:p>
    <w:p w:rsidR="00D906DC" w:rsidRPr="00557533" w:rsidRDefault="00D906DC" w:rsidP="005F3E79">
      <w:pPr>
        <w:adjustRightInd w:val="0"/>
        <w:snapToGrid w:val="0"/>
        <w:spacing w:line="520" w:lineRule="exact"/>
        <w:ind w:firstLineChars="200" w:firstLine="600"/>
        <w:rPr>
          <w:rFonts w:ascii="仿宋_GB2312" w:eastAsia="仿宋_GB2312"/>
          <w:sz w:val="30"/>
          <w:szCs w:val="30"/>
        </w:rPr>
      </w:pPr>
      <w:r w:rsidRPr="00557533">
        <w:rPr>
          <w:rFonts w:ascii="仿宋_GB2312" w:eastAsia="仿宋_GB2312" w:hint="eastAsia"/>
          <w:sz w:val="30"/>
          <w:szCs w:val="30"/>
        </w:rPr>
        <w:t>案号：南京中院（</w:t>
      </w:r>
      <w:r w:rsidRPr="00557533">
        <w:rPr>
          <w:rFonts w:ascii="仿宋_GB2312" w:eastAsia="仿宋_GB2312"/>
          <w:sz w:val="30"/>
          <w:szCs w:val="30"/>
        </w:rPr>
        <w:t>2019</w:t>
      </w:r>
      <w:r w:rsidRPr="00557533">
        <w:rPr>
          <w:rFonts w:ascii="仿宋_GB2312" w:eastAsia="仿宋_GB2312" w:hint="eastAsia"/>
          <w:sz w:val="30"/>
          <w:szCs w:val="30"/>
        </w:rPr>
        <w:t>）苏</w:t>
      </w:r>
      <w:r w:rsidRPr="00557533">
        <w:rPr>
          <w:rFonts w:ascii="仿宋_GB2312" w:eastAsia="仿宋_GB2312"/>
          <w:sz w:val="30"/>
          <w:szCs w:val="30"/>
        </w:rPr>
        <w:t>01</w:t>
      </w:r>
      <w:r w:rsidRPr="00557533">
        <w:rPr>
          <w:rFonts w:ascii="仿宋_GB2312" w:eastAsia="仿宋_GB2312" w:hint="eastAsia"/>
          <w:sz w:val="30"/>
          <w:szCs w:val="30"/>
        </w:rPr>
        <w:t>民初</w:t>
      </w:r>
      <w:r w:rsidRPr="00557533">
        <w:rPr>
          <w:rFonts w:ascii="仿宋_GB2312" w:eastAsia="仿宋_GB2312"/>
          <w:sz w:val="30"/>
          <w:szCs w:val="30"/>
        </w:rPr>
        <w:t>687</w:t>
      </w:r>
      <w:r w:rsidRPr="00557533">
        <w:rPr>
          <w:rFonts w:ascii="仿宋_GB2312" w:eastAsia="仿宋_GB2312" w:hint="eastAsia"/>
          <w:sz w:val="30"/>
          <w:szCs w:val="30"/>
        </w:rPr>
        <w:t>号</w:t>
      </w:r>
    </w:p>
    <w:p w:rsidR="00D906DC" w:rsidRPr="00557533" w:rsidRDefault="00D906DC" w:rsidP="005F3E79">
      <w:pPr>
        <w:adjustRightInd w:val="0"/>
        <w:snapToGrid w:val="0"/>
        <w:spacing w:line="520" w:lineRule="exact"/>
        <w:ind w:firstLineChars="200" w:firstLine="600"/>
        <w:rPr>
          <w:rFonts w:ascii="仿宋_GB2312" w:eastAsia="仿宋_GB2312"/>
          <w:sz w:val="30"/>
          <w:szCs w:val="30"/>
        </w:rPr>
      </w:pPr>
      <w:r w:rsidRPr="00557533">
        <w:rPr>
          <w:rFonts w:ascii="仿宋_GB2312" w:eastAsia="仿宋_GB2312" w:hint="eastAsia"/>
          <w:sz w:val="30"/>
          <w:szCs w:val="30"/>
        </w:rPr>
        <w:t>申请人：郑州曳头网络科技有限公司</w:t>
      </w:r>
    </w:p>
    <w:p w:rsidR="00D906DC" w:rsidRPr="00557533" w:rsidRDefault="00D906DC" w:rsidP="005F3E79">
      <w:pPr>
        <w:adjustRightInd w:val="0"/>
        <w:snapToGrid w:val="0"/>
        <w:spacing w:line="520" w:lineRule="exact"/>
        <w:ind w:firstLineChars="200" w:firstLine="600"/>
        <w:rPr>
          <w:rFonts w:ascii="仿宋_GB2312" w:eastAsia="仿宋_GB2312"/>
          <w:sz w:val="30"/>
          <w:szCs w:val="30"/>
        </w:rPr>
      </w:pPr>
      <w:r w:rsidRPr="00557533">
        <w:rPr>
          <w:rFonts w:ascii="仿宋_GB2312" w:eastAsia="仿宋_GB2312" w:hint="eastAsia"/>
          <w:sz w:val="30"/>
          <w:szCs w:val="30"/>
        </w:rPr>
        <w:t>被申请人：浙江天猫网络有限公司、丁晓梅等</w:t>
      </w:r>
    </w:p>
    <w:p w:rsidR="00D906DC" w:rsidRPr="00557533" w:rsidRDefault="00D906DC" w:rsidP="005F3E79">
      <w:pPr>
        <w:adjustRightInd w:val="0"/>
        <w:snapToGrid w:val="0"/>
        <w:spacing w:line="520" w:lineRule="exact"/>
        <w:ind w:firstLineChars="200" w:firstLine="602"/>
        <w:rPr>
          <w:rFonts w:ascii="仿宋_GB2312" w:eastAsia="仿宋_GB2312"/>
          <w:b/>
          <w:bCs/>
          <w:sz w:val="30"/>
          <w:szCs w:val="30"/>
        </w:rPr>
      </w:pPr>
      <w:r w:rsidRPr="00557533">
        <w:rPr>
          <w:rFonts w:ascii="仿宋_GB2312" w:eastAsia="仿宋_GB2312" w:hint="eastAsia"/>
          <w:b/>
          <w:bCs/>
          <w:sz w:val="30"/>
          <w:szCs w:val="30"/>
        </w:rPr>
        <w:t>【裁判要旨】</w:t>
      </w:r>
    </w:p>
    <w:p w:rsidR="00D906DC" w:rsidRPr="00557533" w:rsidRDefault="00D906DC" w:rsidP="005F3E79">
      <w:pPr>
        <w:adjustRightInd w:val="0"/>
        <w:snapToGrid w:val="0"/>
        <w:spacing w:line="520" w:lineRule="exact"/>
        <w:ind w:firstLineChars="200" w:firstLine="600"/>
        <w:rPr>
          <w:rFonts w:ascii="仿宋_GB2312" w:eastAsia="仿宋_GB2312"/>
          <w:sz w:val="30"/>
          <w:szCs w:val="30"/>
        </w:rPr>
      </w:pPr>
      <w:r w:rsidRPr="00557533">
        <w:rPr>
          <w:rFonts w:ascii="仿宋_GB2312" w:eastAsia="仿宋_GB2312" w:hint="eastAsia"/>
          <w:sz w:val="30"/>
          <w:szCs w:val="30"/>
        </w:rPr>
        <w:t>因权利人向网购平台投诉或起诉平台内的销售商侵害其知识产权，平台断开相关商品的销售链接，销售商申请法院裁定要求网络平台先予恢复销售链接的，人民法院应当综合审查销售商品侵权的可能性、是否给销售商造成难以弥补的损害、销售商提供担保情况、删除或恢复链接是否有损社会公共利益等事实和法律要件，决定是否应当先予恢复被删除的链接。</w:t>
      </w:r>
    </w:p>
    <w:p w:rsidR="00D906DC" w:rsidRPr="00557533" w:rsidRDefault="00D906DC" w:rsidP="005F3E79">
      <w:pPr>
        <w:adjustRightInd w:val="0"/>
        <w:snapToGrid w:val="0"/>
        <w:spacing w:line="520" w:lineRule="exact"/>
        <w:ind w:firstLineChars="200" w:firstLine="602"/>
        <w:rPr>
          <w:rFonts w:ascii="仿宋_GB2312" w:eastAsia="仿宋_GB2312"/>
          <w:b/>
          <w:bCs/>
          <w:sz w:val="30"/>
          <w:szCs w:val="30"/>
        </w:rPr>
      </w:pPr>
      <w:r w:rsidRPr="00557533">
        <w:rPr>
          <w:rFonts w:ascii="仿宋_GB2312" w:eastAsia="仿宋_GB2312" w:hint="eastAsia"/>
          <w:b/>
          <w:bCs/>
          <w:sz w:val="30"/>
          <w:szCs w:val="30"/>
        </w:rPr>
        <w:t>【</w:t>
      </w:r>
      <w:r>
        <w:rPr>
          <w:rFonts w:ascii="仿宋_GB2312" w:eastAsia="仿宋_GB2312" w:hint="eastAsia"/>
          <w:b/>
          <w:bCs/>
          <w:sz w:val="30"/>
          <w:szCs w:val="30"/>
        </w:rPr>
        <w:t>基本案情</w:t>
      </w:r>
      <w:r w:rsidRPr="00557533">
        <w:rPr>
          <w:rFonts w:ascii="仿宋_GB2312" w:eastAsia="仿宋_GB2312" w:hint="eastAsia"/>
          <w:b/>
          <w:bCs/>
          <w:sz w:val="30"/>
          <w:szCs w:val="30"/>
        </w:rPr>
        <w:t>】</w:t>
      </w:r>
    </w:p>
    <w:p w:rsidR="00D906DC" w:rsidRPr="00557533" w:rsidRDefault="00D906DC" w:rsidP="005F3E79">
      <w:pPr>
        <w:adjustRightInd w:val="0"/>
        <w:snapToGrid w:val="0"/>
        <w:spacing w:line="520" w:lineRule="exact"/>
        <w:ind w:firstLineChars="200" w:firstLine="600"/>
        <w:rPr>
          <w:rFonts w:ascii="仿宋_GB2312" w:eastAsia="仿宋_GB2312"/>
          <w:sz w:val="30"/>
          <w:szCs w:val="30"/>
        </w:rPr>
      </w:pPr>
      <w:r w:rsidRPr="00557533">
        <w:rPr>
          <w:rFonts w:ascii="仿宋_GB2312" w:eastAsia="仿宋_GB2312" w:hint="eastAsia"/>
          <w:sz w:val="30"/>
          <w:szCs w:val="30"/>
        </w:rPr>
        <w:t>丁晓梅以郑州曳头网络科技有限公司（</w:t>
      </w:r>
      <w:r>
        <w:rPr>
          <w:rFonts w:ascii="仿宋_GB2312" w:eastAsia="仿宋_GB2312" w:hint="eastAsia"/>
          <w:sz w:val="30"/>
          <w:szCs w:val="30"/>
        </w:rPr>
        <w:t>以下</w:t>
      </w:r>
      <w:r w:rsidRPr="00557533">
        <w:rPr>
          <w:rFonts w:ascii="仿宋_GB2312" w:eastAsia="仿宋_GB2312" w:hint="eastAsia"/>
          <w:sz w:val="30"/>
          <w:szCs w:val="30"/>
        </w:rPr>
        <w:t>简称曳头公司）、南通苏奥纺织品有限公司（</w:t>
      </w:r>
      <w:r>
        <w:rPr>
          <w:rFonts w:ascii="仿宋_GB2312" w:eastAsia="仿宋_GB2312" w:hint="eastAsia"/>
          <w:sz w:val="30"/>
          <w:szCs w:val="30"/>
        </w:rPr>
        <w:t>以下</w:t>
      </w:r>
      <w:r w:rsidRPr="00557533">
        <w:rPr>
          <w:rFonts w:ascii="仿宋_GB2312" w:eastAsia="仿宋_GB2312" w:hint="eastAsia"/>
          <w:sz w:val="30"/>
          <w:szCs w:val="30"/>
        </w:rPr>
        <w:t>简称苏奥公司）在天猫网购平台上销售的产品侵害其外观设计专利</w:t>
      </w:r>
      <w:r>
        <w:rPr>
          <w:rFonts w:ascii="仿宋_GB2312" w:eastAsia="仿宋_GB2312" w:hint="eastAsia"/>
          <w:sz w:val="30"/>
          <w:szCs w:val="30"/>
        </w:rPr>
        <w:t>权</w:t>
      </w:r>
      <w:r w:rsidRPr="00557533">
        <w:rPr>
          <w:rFonts w:ascii="仿宋_GB2312" w:eastAsia="仿宋_GB2312" w:hint="eastAsia"/>
          <w:sz w:val="30"/>
          <w:szCs w:val="30"/>
        </w:rPr>
        <w:t>为由，将曳头公司、苏奥公司、浙江天猫网络有限公司（</w:t>
      </w:r>
      <w:r>
        <w:rPr>
          <w:rFonts w:ascii="仿宋_GB2312" w:eastAsia="仿宋_GB2312" w:hint="eastAsia"/>
          <w:sz w:val="30"/>
          <w:szCs w:val="30"/>
        </w:rPr>
        <w:t>以下</w:t>
      </w:r>
      <w:r w:rsidRPr="00557533">
        <w:rPr>
          <w:rFonts w:ascii="仿宋_GB2312" w:eastAsia="仿宋_GB2312" w:hint="eastAsia"/>
          <w:sz w:val="30"/>
          <w:szCs w:val="30"/>
        </w:rPr>
        <w:t>简称天猫公司）诉之南京中院。因丁晓梅向天猫公司投诉，天猫公司于</w:t>
      </w:r>
      <w:r w:rsidRPr="00557533">
        <w:rPr>
          <w:rFonts w:ascii="仿宋_GB2312" w:eastAsia="仿宋_GB2312"/>
          <w:sz w:val="30"/>
          <w:szCs w:val="30"/>
        </w:rPr>
        <w:t>2019</w:t>
      </w:r>
      <w:r w:rsidRPr="00557533">
        <w:rPr>
          <w:rFonts w:ascii="仿宋_GB2312" w:eastAsia="仿宋_GB2312" w:hint="eastAsia"/>
          <w:sz w:val="30"/>
          <w:szCs w:val="30"/>
        </w:rPr>
        <w:t>年</w:t>
      </w:r>
      <w:r w:rsidRPr="00557533">
        <w:rPr>
          <w:rFonts w:ascii="仿宋_GB2312" w:eastAsia="仿宋_GB2312"/>
          <w:sz w:val="30"/>
          <w:szCs w:val="30"/>
        </w:rPr>
        <w:t>4</w:t>
      </w:r>
      <w:r w:rsidRPr="00557533">
        <w:rPr>
          <w:rFonts w:ascii="仿宋_GB2312" w:eastAsia="仿宋_GB2312" w:hint="eastAsia"/>
          <w:sz w:val="30"/>
          <w:szCs w:val="30"/>
        </w:rPr>
        <w:t>月</w:t>
      </w:r>
      <w:r w:rsidRPr="00557533">
        <w:rPr>
          <w:rFonts w:ascii="仿宋_GB2312" w:eastAsia="仿宋_GB2312"/>
          <w:sz w:val="30"/>
          <w:szCs w:val="30"/>
        </w:rPr>
        <w:t>8</w:t>
      </w:r>
      <w:r w:rsidRPr="00557533">
        <w:rPr>
          <w:rFonts w:ascii="仿宋_GB2312" w:eastAsia="仿宋_GB2312" w:hint="eastAsia"/>
          <w:sz w:val="30"/>
          <w:szCs w:val="30"/>
        </w:rPr>
        <w:t>日删除了被诉侵权产品在天猫网购平台的销售链接。在前述侵害外观设计专利权纠纷一案审理过程中，曳头公司向南京中院申请先予恢复被删除的链接，理由为：被诉侵权产品与涉案</w:t>
      </w:r>
      <w:r>
        <w:rPr>
          <w:rFonts w:ascii="仿宋_GB2312" w:eastAsia="仿宋_GB2312" w:hint="eastAsia"/>
          <w:sz w:val="30"/>
          <w:szCs w:val="30"/>
        </w:rPr>
        <w:t>专利</w:t>
      </w:r>
      <w:r w:rsidRPr="00557533">
        <w:rPr>
          <w:rFonts w:ascii="仿宋_GB2312" w:eastAsia="仿宋_GB2312" w:hint="eastAsia"/>
          <w:sz w:val="30"/>
          <w:szCs w:val="30"/>
        </w:rPr>
        <w:t>外观设计之间的相同点在于蚊帐可折叠骨架的整体形</w:t>
      </w:r>
      <w:r w:rsidRPr="00557533">
        <w:rPr>
          <w:rFonts w:ascii="仿宋_GB2312" w:eastAsia="仿宋_GB2312" w:hint="eastAsia"/>
          <w:sz w:val="30"/>
          <w:szCs w:val="30"/>
        </w:rPr>
        <w:lastRenderedPageBreak/>
        <w:t>状，不同点在于蚊帐布的形状和图案；其中，相同点部分为现有设计；不同点部分可以视为涉案外观设计的设计要点，即被诉侵权产品没有使用涉案专利的设计要点部分。因此，曳头公司认为被诉侵权产品没有落入涉案外观设计专利权的保护范围，其制造、销售被诉侵权产品的行为不构成侵权。同时，由于丁晓梅的投诉，天猫公司删除了被诉侵权产品的销售链接。而被诉侵权产品为蚊帐，系夏季季节性产品，目前处于销售旺季。在销售链接被删除之前，该产品已经做到同类产品第一名的位置，即将到来的“</w:t>
      </w:r>
      <w:r w:rsidRPr="00557533">
        <w:rPr>
          <w:rFonts w:ascii="仿宋_GB2312" w:eastAsia="仿宋_GB2312"/>
          <w:sz w:val="30"/>
          <w:szCs w:val="30"/>
        </w:rPr>
        <w:t>6.18</w:t>
      </w:r>
      <w:r w:rsidRPr="00557533">
        <w:rPr>
          <w:rFonts w:ascii="仿宋_GB2312" w:eastAsia="仿宋_GB2312" w:hint="eastAsia"/>
          <w:sz w:val="30"/>
          <w:szCs w:val="30"/>
        </w:rPr>
        <w:t>”活动是继“双</w:t>
      </w:r>
      <w:r w:rsidRPr="00557533">
        <w:rPr>
          <w:rFonts w:ascii="仿宋_GB2312" w:eastAsia="仿宋_GB2312"/>
          <w:sz w:val="30"/>
          <w:szCs w:val="30"/>
        </w:rPr>
        <w:t>11</w:t>
      </w:r>
      <w:r w:rsidRPr="00557533">
        <w:rPr>
          <w:rFonts w:ascii="仿宋_GB2312" w:eastAsia="仿宋_GB2312" w:hint="eastAsia"/>
          <w:sz w:val="30"/>
          <w:szCs w:val="30"/>
        </w:rPr>
        <w:t>”之后的第二个大型夏季销售推广活动，删除销售链接严重影响曳头公司的销售。而且，本案审理程序将持续很长一段时间才能终结。不恢复链接将对曳头公司的生产经营活动造成难以弥补的损失。因此，为了避免造成难以弥补的损失，曳头公司申请法院裁定要求天猫公司先予恢复被诉侵权产品在其所经营的天猫网购平台上的全部销售链接。</w:t>
      </w:r>
    </w:p>
    <w:p w:rsidR="00D906DC" w:rsidRPr="00557533" w:rsidRDefault="00D906DC" w:rsidP="005F3E79">
      <w:pPr>
        <w:adjustRightInd w:val="0"/>
        <w:snapToGrid w:val="0"/>
        <w:spacing w:line="520" w:lineRule="exact"/>
        <w:ind w:firstLineChars="200" w:firstLine="602"/>
        <w:rPr>
          <w:rFonts w:ascii="仿宋_GB2312" w:eastAsia="仿宋_GB2312"/>
          <w:b/>
          <w:bCs/>
          <w:sz w:val="30"/>
          <w:szCs w:val="30"/>
        </w:rPr>
      </w:pPr>
      <w:r w:rsidRPr="00557533">
        <w:rPr>
          <w:rFonts w:ascii="仿宋_GB2312" w:eastAsia="仿宋_GB2312" w:hint="eastAsia"/>
          <w:b/>
          <w:bCs/>
          <w:sz w:val="30"/>
          <w:szCs w:val="30"/>
        </w:rPr>
        <w:t>【法院认为】</w:t>
      </w:r>
    </w:p>
    <w:p w:rsidR="00D906DC" w:rsidRPr="00557533" w:rsidRDefault="00D906DC" w:rsidP="005F3E79">
      <w:pPr>
        <w:adjustRightInd w:val="0"/>
        <w:snapToGrid w:val="0"/>
        <w:spacing w:line="520" w:lineRule="exact"/>
        <w:ind w:firstLineChars="200" w:firstLine="600"/>
        <w:rPr>
          <w:rFonts w:ascii="仿宋_GB2312" w:eastAsia="仿宋_GB2312"/>
          <w:sz w:val="30"/>
          <w:szCs w:val="30"/>
        </w:rPr>
      </w:pPr>
      <w:r w:rsidRPr="00557533">
        <w:rPr>
          <w:rFonts w:ascii="仿宋_GB2312" w:eastAsia="仿宋_GB2312" w:hint="eastAsia"/>
          <w:sz w:val="30"/>
          <w:szCs w:val="30"/>
        </w:rPr>
        <w:t>南京中院经审查认为：</w:t>
      </w:r>
    </w:p>
    <w:p w:rsidR="00D906DC" w:rsidRPr="00557533" w:rsidRDefault="00D906DC" w:rsidP="005F3E79">
      <w:pPr>
        <w:adjustRightInd w:val="0"/>
        <w:snapToGrid w:val="0"/>
        <w:spacing w:line="520" w:lineRule="exact"/>
        <w:ind w:firstLineChars="200" w:firstLine="600"/>
        <w:rPr>
          <w:rFonts w:ascii="仿宋_GB2312" w:eastAsia="仿宋_GB2312"/>
          <w:sz w:val="30"/>
          <w:szCs w:val="30"/>
        </w:rPr>
      </w:pPr>
      <w:r w:rsidRPr="00557533">
        <w:rPr>
          <w:rFonts w:ascii="仿宋_GB2312" w:eastAsia="仿宋_GB2312" w:hint="eastAsia"/>
          <w:sz w:val="30"/>
          <w:szCs w:val="30"/>
        </w:rPr>
        <w:t>首先，天猫公司对丁晓梅的投诉依规依法进行了处理。天猫公司接到丁晓梅的投诉后，天猫公司一方面听取了投诉商家和被投诉商家的意见，另一方面又由其关联公司委托第三方对侵权行为能否成立进行评判，并认为被诉侵权行为不成立，故未对销售链接采取删除等措施。丁晓梅在提起本案诉讼后，再次投诉，坚持认为天猫公司应当采取删除链接等必要措施。天猫公司遂采取了删除销售链接之措施。</w:t>
      </w:r>
    </w:p>
    <w:p w:rsidR="00D906DC" w:rsidRPr="00557533" w:rsidRDefault="00D906DC" w:rsidP="005F3E79">
      <w:pPr>
        <w:adjustRightInd w:val="0"/>
        <w:snapToGrid w:val="0"/>
        <w:spacing w:line="520" w:lineRule="exact"/>
        <w:ind w:firstLineChars="200" w:firstLine="600"/>
        <w:rPr>
          <w:rFonts w:ascii="仿宋_GB2312" w:eastAsia="仿宋_GB2312"/>
          <w:sz w:val="30"/>
          <w:szCs w:val="30"/>
        </w:rPr>
      </w:pPr>
      <w:r w:rsidRPr="00557533">
        <w:rPr>
          <w:rFonts w:ascii="仿宋_GB2312" w:eastAsia="仿宋_GB2312" w:hint="eastAsia"/>
          <w:sz w:val="30"/>
          <w:szCs w:val="30"/>
        </w:rPr>
        <w:t>其次，曳头公司制造、销售被诉侵权产品构成侵权的可能性较小。根据当事人举证、质证及侵权比对的情况，并结合丁晓梅另一项“便携式婴幼儿折叠蚊帐”实用新型专利已被宣告无效等事实，法院初步</w:t>
      </w:r>
      <w:r w:rsidRPr="00557533">
        <w:rPr>
          <w:rFonts w:ascii="仿宋_GB2312" w:eastAsia="仿宋_GB2312" w:hint="eastAsia"/>
          <w:sz w:val="30"/>
          <w:szCs w:val="30"/>
        </w:rPr>
        <w:lastRenderedPageBreak/>
        <w:t>认为构成侵权的可能性较小。</w:t>
      </w:r>
    </w:p>
    <w:p w:rsidR="00D906DC" w:rsidRPr="00557533" w:rsidRDefault="00D906DC" w:rsidP="005F3E79">
      <w:pPr>
        <w:adjustRightInd w:val="0"/>
        <w:snapToGrid w:val="0"/>
        <w:spacing w:line="520" w:lineRule="exact"/>
        <w:ind w:firstLineChars="200" w:firstLine="600"/>
        <w:rPr>
          <w:rFonts w:ascii="仿宋_GB2312" w:eastAsia="仿宋_GB2312"/>
          <w:sz w:val="30"/>
          <w:szCs w:val="30"/>
        </w:rPr>
      </w:pPr>
      <w:r w:rsidRPr="00557533">
        <w:rPr>
          <w:rFonts w:ascii="仿宋_GB2312" w:eastAsia="仿宋_GB2312" w:hint="eastAsia"/>
          <w:sz w:val="30"/>
          <w:szCs w:val="30"/>
        </w:rPr>
        <w:t>第三，不恢复销售链接可能给曳头公司造成难以弥补的损失。被诉侵权产品的销售很大程度上依赖于商誉和口碑的积累以及时机的把握。被诉侵权产品的销售具有较强的季节性，且构成侵权的可能性较小。因此，若不及时恢复被删除的销售链接可能造成曳头公司及其被诉侵权产品所积累的商誉和口碑的持续消减和损失，以及交易机会的丧失，可能造成难以弥补的损失。</w:t>
      </w:r>
    </w:p>
    <w:p w:rsidR="00D906DC" w:rsidRPr="00557533" w:rsidRDefault="00D906DC" w:rsidP="005F3E79">
      <w:pPr>
        <w:adjustRightInd w:val="0"/>
        <w:snapToGrid w:val="0"/>
        <w:spacing w:line="520" w:lineRule="exact"/>
        <w:ind w:firstLineChars="200" w:firstLine="600"/>
        <w:rPr>
          <w:rFonts w:ascii="仿宋_GB2312" w:eastAsia="仿宋_GB2312"/>
          <w:sz w:val="30"/>
          <w:szCs w:val="30"/>
        </w:rPr>
      </w:pPr>
      <w:r w:rsidRPr="00557533">
        <w:rPr>
          <w:rFonts w:ascii="仿宋_GB2312" w:eastAsia="仿宋_GB2312" w:hint="eastAsia"/>
          <w:sz w:val="30"/>
          <w:szCs w:val="30"/>
        </w:rPr>
        <w:t>第四，曳头公司提供了一定的担保。被诉侵权产品的销售具有较强的季节性，曳头公司根据被诉侵权产品之前每月销售额的适当倍数乘以恢复链接后大概的销售月份计算出一个数额，据此提供了现金担保，并保证若被认定侵权成立所可能承担的赔偿责任能够得到实现。天猫公司亦承诺可以及时提供恢复链接后被诉侵权产品的所有销售记录，以供计算赔偿等之用。</w:t>
      </w:r>
    </w:p>
    <w:p w:rsidR="00D906DC" w:rsidRPr="00557533" w:rsidRDefault="00D906DC" w:rsidP="005F3E79">
      <w:pPr>
        <w:adjustRightInd w:val="0"/>
        <w:snapToGrid w:val="0"/>
        <w:spacing w:line="520" w:lineRule="exact"/>
        <w:ind w:firstLineChars="200" w:firstLine="600"/>
        <w:rPr>
          <w:rFonts w:ascii="仿宋_GB2312" w:eastAsia="仿宋_GB2312"/>
          <w:sz w:val="30"/>
          <w:szCs w:val="30"/>
        </w:rPr>
      </w:pPr>
      <w:r w:rsidRPr="00557533">
        <w:rPr>
          <w:rFonts w:ascii="仿宋_GB2312" w:eastAsia="仿宋_GB2312" w:hint="eastAsia"/>
          <w:sz w:val="30"/>
          <w:szCs w:val="30"/>
        </w:rPr>
        <w:t>南京中院认为，曳头公司的申请符合法律规定。依照《中华人民共和国民事诉讼法》第一百零六条第（三）项、第一百零七条之规定，裁定：天猫公司立即恢复曳头公司涉案被诉侵权产品“遮光</w:t>
      </w:r>
      <w:r w:rsidRPr="00557533">
        <w:rPr>
          <w:rFonts w:ascii="仿宋_GB2312" w:eastAsia="仿宋_GB2312"/>
          <w:sz w:val="30"/>
          <w:szCs w:val="30"/>
        </w:rPr>
        <w:t>U</w:t>
      </w:r>
      <w:r w:rsidRPr="00557533">
        <w:rPr>
          <w:rFonts w:ascii="仿宋_GB2312" w:eastAsia="仿宋_GB2312" w:hint="eastAsia"/>
          <w:sz w:val="30"/>
          <w:szCs w:val="30"/>
        </w:rPr>
        <w:t>型蚊帐”和“升级</w:t>
      </w:r>
      <w:r w:rsidRPr="00557533">
        <w:rPr>
          <w:rFonts w:ascii="仿宋_GB2312" w:eastAsia="仿宋_GB2312"/>
          <w:sz w:val="30"/>
          <w:szCs w:val="30"/>
        </w:rPr>
        <w:t>U</w:t>
      </w:r>
      <w:r w:rsidRPr="00557533">
        <w:rPr>
          <w:rFonts w:ascii="仿宋_GB2312" w:eastAsia="仿宋_GB2312" w:hint="eastAsia"/>
          <w:sz w:val="30"/>
          <w:szCs w:val="30"/>
        </w:rPr>
        <w:t>型蚊帐”在天猫网购平台上的销售链接。</w:t>
      </w:r>
    </w:p>
    <w:p w:rsidR="00D906DC" w:rsidRPr="00557533" w:rsidRDefault="00D906DC" w:rsidP="005F3E79">
      <w:pPr>
        <w:adjustRightInd w:val="0"/>
        <w:snapToGrid w:val="0"/>
        <w:spacing w:line="520" w:lineRule="exact"/>
        <w:ind w:firstLineChars="200" w:firstLine="600"/>
        <w:rPr>
          <w:rFonts w:ascii="仿宋_GB2312" w:eastAsia="仿宋_GB2312"/>
          <w:sz w:val="30"/>
          <w:szCs w:val="30"/>
        </w:rPr>
      </w:pPr>
      <w:r w:rsidRPr="00557533">
        <w:rPr>
          <w:rFonts w:ascii="仿宋_GB2312" w:eastAsia="仿宋_GB2312" w:hint="eastAsia"/>
          <w:sz w:val="30"/>
          <w:szCs w:val="30"/>
        </w:rPr>
        <w:t>该裁定作出后，被申请人未申请复议。</w:t>
      </w:r>
    </w:p>
    <w:p w:rsidR="00D906DC" w:rsidRPr="00557533" w:rsidRDefault="00D906DC" w:rsidP="005F3E79">
      <w:pPr>
        <w:adjustRightInd w:val="0"/>
        <w:snapToGrid w:val="0"/>
        <w:spacing w:line="520" w:lineRule="exact"/>
        <w:ind w:firstLineChars="200" w:firstLine="602"/>
        <w:rPr>
          <w:rFonts w:ascii="仿宋_GB2312" w:eastAsia="仿宋_GB2312"/>
          <w:b/>
          <w:bCs/>
          <w:sz w:val="30"/>
          <w:szCs w:val="30"/>
        </w:rPr>
      </w:pPr>
      <w:r w:rsidRPr="00557533">
        <w:rPr>
          <w:rFonts w:ascii="仿宋_GB2312" w:eastAsia="仿宋_GB2312" w:hint="eastAsia"/>
          <w:b/>
          <w:bCs/>
          <w:sz w:val="30"/>
          <w:szCs w:val="30"/>
        </w:rPr>
        <w:t>【典型意义】</w:t>
      </w:r>
    </w:p>
    <w:p w:rsidR="00D906DC" w:rsidRPr="00557533" w:rsidRDefault="00D906DC" w:rsidP="005F3E79">
      <w:pPr>
        <w:adjustRightInd w:val="0"/>
        <w:snapToGrid w:val="0"/>
        <w:spacing w:line="520" w:lineRule="exact"/>
        <w:ind w:firstLineChars="200" w:firstLine="600"/>
        <w:rPr>
          <w:rFonts w:ascii="仿宋_GB2312" w:eastAsia="仿宋_GB2312"/>
          <w:sz w:val="30"/>
          <w:szCs w:val="30"/>
        </w:rPr>
      </w:pPr>
      <w:r w:rsidRPr="00557533">
        <w:rPr>
          <w:rFonts w:ascii="仿宋_GB2312" w:eastAsia="仿宋_GB2312" w:hint="eastAsia"/>
          <w:sz w:val="30"/>
          <w:szCs w:val="30"/>
        </w:rPr>
        <w:t>该案被业界称为国内首例“反向行为保全”案，在业内引起强烈反响。与通常由专利权人为及时制止侵权行为而向法院申请行为保全即临时禁令不同，本案的特殊情形在于，在侵害专利权诉讼中，被诉侵权人向法院申请先予恢复被删除</w:t>
      </w:r>
      <w:r>
        <w:rPr>
          <w:rFonts w:ascii="仿宋_GB2312" w:eastAsia="仿宋_GB2312" w:hint="eastAsia"/>
          <w:sz w:val="30"/>
          <w:szCs w:val="30"/>
        </w:rPr>
        <w:t>的电子商务网络销售</w:t>
      </w:r>
      <w:r w:rsidRPr="00557533">
        <w:rPr>
          <w:rFonts w:ascii="仿宋_GB2312" w:eastAsia="仿宋_GB2312" w:hint="eastAsia"/>
          <w:sz w:val="30"/>
          <w:szCs w:val="30"/>
        </w:rPr>
        <w:t>链接并获得法院支持。一般而言，天猫等网络购物平台会根据商家的投诉材料和被</w:t>
      </w:r>
      <w:r w:rsidRPr="00557533">
        <w:rPr>
          <w:rFonts w:ascii="仿宋_GB2312" w:eastAsia="仿宋_GB2312" w:hint="eastAsia"/>
          <w:sz w:val="30"/>
          <w:szCs w:val="30"/>
        </w:rPr>
        <w:lastRenderedPageBreak/>
        <w:t>投诉</w:t>
      </w:r>
      <w:r>
        <w:rPr>
          <w:rFonts w:ascii="仿宋_GB2312" w:eastAsia="仿宋_GB2312" w:hint="eastAsia"/>
          <w:sz w:val="30"/>
          <w:szCs w:val="30"/>
        </w:rPr>
        <w:t>人</w:t>
      </w:r>
      <w:r w:rsidRPr="00557533">
        <w:rPr>
          <w:rFonts w:ascii="仿宋_GB2312" w:eastAsia="仿宋_GB2312" w:hint="eastAsia"/>
          <w:sz w:val="30"/>
          <w:szCs w:val="30"/>
        </w:rPr>
        <w:t>的申诉材料，依据其平台知识产权投诉处理规则</w:t>
      </w:r>
      <w:r>
        <w:rPr>
          <w:rFonts w:ascii="仿宋_GB2312" w:eastAsia="仿宋_GB2312" w:hint="eastAsia"/>
          <w:sz w:val="30"/>
          <w:szCs w:val="30"/>
        </w:rPr>
        <w:t>和程序</w:t>
      </w:r>
      <w:r w:rsidRPr="00557533">
        <w:rPr>
          <w:rFonts w:ascii="仿宋_GB2312" w:eastAsia="仿宋_GB2312" w:hint="eastAsia"/>
          <w:sz w:val="30"/>
          <w:szCs w:val="30"/>
        </w:rPr>
        <w:t>，决定维持现状，或者采取删除、屏蔽、断开链接、终止交易和服务等必要措施。但是，一旦投诉商家提起知识产权侵权诉讼，网络购物平台通常会采取删除销售链接等措施。权利人向网络购物平台投诉，要求其采取断开销售链接等措施，类似于民事诉讼中申请行为保全措施（</w:t>
      </w:r>
      <w:r>
        <w:rPr>
          <w:rFonts w:ascii="仿宋_GB2312" w:eastAsia="仿宋_GB2312" w:hint="eastAsia"/>
          <w:sz w:val="30"/>
          <w:szCs w:val="30"/>
        </w:rPr>
        <w:t>临时</w:t>
      </w:r>
      <w:r w:rsidRPr="00557533">
        <w:rPr>
          <w:rFonts w:ascii="仿宋_GB2312" w:eastAsia="仿宋_GB2312" w:hint="eastAsia"/>
          <w:sz w:val="30"/>
          <w:szCs w:val="30"/>
        </w:rPr>
        <w:t>禁令）。</w:t>
      </w:r>
      <w:r>
        <w:rPr>
          <w:rFonts w:ascii="仿宋_GB2312" w:eastAsia="仿宋_GB2312" w:hint="eastAsia"/>
          <w:sz w:val="30"/>
          <w:szCs w:val="30"/>
        </w:rPr>
        <w:t>而</w:t>
      </w:r>
      <w:r w:rsidRPr="00557533">
        <w:rPr>
          <w:rFonts w:ascii="仿宋_GB2312" w:eastAsia="仿宋_GB2312" w:hint="eastAsia"/>
          <w:sz w:val="30"/>
          <w:szCs w:val="30"/>
        </w:rPr>
        <w:t>法院根据相对人申请，裁定先予恢复被删除的销售链接，被</w:t>
      </w:r>
      <w:r>
        <w:rPr>
          <w:rFonts w:ascii="仿宋_GB2312" w:eastAsia="仿宋_GB2312" w:hint="eastAsia"/>
          <w:sz w:val="30"/>
          <w:szCs w:val="30"/>
        </w:rPr>
        <w:t>业界</w:t>
      </w:r>
      <w:r w:rsidRPr="00557533">
        <w:rPr>
          <w:rFonts w:ascii="仿宋_GB2312" w:eastAsia="仿宋_GB2312" w:hint="eastAsia"/>
          <w:sz w:val="30"/>
          <w:szCs w:val="30"/>
        </w:rPr>
        <w:t>称之为“反向行为保全”。</w:t>
      </w:r>
    </w:p>
    <w:p w:rsidR="00D906DC" w:rsidRPr="00557533" w:rsidRDefault="00D906DC" w:rsidP="005F3E79">
      <w:pPr>
        <w:adjustRightInd w:val="0"/>
        <w:snapToGrid w:val="0"/>
        <w:spacing w:line="520" w:lineRule="exact"/>
        <w:ind w:firstLineChars="200" w:firstLine="600"/>
        <w:rPr>
          <w:rFonts w:ascii="仿宋_GB2312" w:eastAsia="仿宋_GB2312"/>
          <w:sz w:val="30"/>
          <w:szCs w:val="30"/>
        </w:rPr>
      </w:pPr>
      <w:r w:rsidRPr="00557533">
        <w:rPr>
          <w:rFonts w:ascii="仿宋_GB2312" w:eastAsia="仿宋_GB2312" w:hint="eastAsia"/>
          <w:sz w:val="30"/>
          <w:szCs w:val="30"/>
        </w:rPr>
        <w:t>本案裁定先予恢复链接的重要意义在于及时有效防止删除链接给</w:t>
      </w:r>
      <w:r>
        <w:rPr>
          <w:rFonts w:ascii="仿宋_GB2312" w:eastAsia="仿宋_GB2312" w:hint="eastAsia"/>
          <w:sz w:val="30"/>
          <w:szCs w:val="30"/>
        </w:rPr>
        <w:t>平台内经营者</w:t>
      </w:r>
      <w:r w:rsidRPr="00557533">
        <w:rPr>
          <w:rFonts w:ascii="仿宋_GB2312" w:eastAsia="仿宋_GB2312" w:hint="eastAsia"/>
          <w:sz w:val="30"/>
          <w:szCs w:val="30"/>
        </w:rPr>
        <w:t>可能造成</w:t>
      </w:r>
      <w:r>
        <w:rPr>
          <w:rFonts w:ascii="仿宋_GB2312" w:eastAsia="仿宋_GB2312" w:hint="eastAsia"/>
          <w:sz w:val="30"/>
          <w:szCs w:val="30"/>
        </w:rPr>
        <w:t>的</w:t>
      </w:r>
      <w:r w:rsidRPr="00557533">
        <w:rPr>
          <w:rFonts w:ascii="仿宋_GB2312" w:eastAsia="仿宋_GB2312" w:hint="eastAsia"/>
          <w:sz w:val="30"/>
          <w:szCs w:val="30"/>
        </w:rPr>
        <w:t>难以弥补的损失，解决电子商务中的恶意投诉问题，促进电子商务健康发展，</w:t>
      </w:r>
      <w:r>
        <w:rPr>
          <w:rFonts w:ascii="仿宋_GB2312" w:eastAsia="仿宋_GB2312" w:hint="eastAsia"/>
          <w:sz w:val="30"/>
          <w:szCs w:val="30"/>
        </w:rPr>
        <w:t>并弥补现有立法不足，具有重要的法律适用和立法价值，以及</w:t>
      </w:r>
      <w:r w:rsidRPr="00557533">
        <w:rPr>
          <w:rFonts w:ascii="仿宋_GB2312" w:eastAsia="仿宋_GB2312" w:hint="eastAsia"/>
          <w:sz w:val="30"/>
          <w:szCs w:val="30"/>
        </w:rPr>
        <w:t>迫切的现实意义。同时，为进一步探讨先予执行与行为保全制度的适用条件，完善相关法律制度，提供了实践样本和新启示、新思考。具体体现在：</w:t>
      </w:r>
    </w:p>
    <w:p w:rsidR="00D906DC" w:rsidRPr="00557533" w:rsidRDefault="00D906DC" w:rsidP="005F3E79">
      <w:pPr>
        <w:adjustRightInd w:val="0"/>
        <w:snapToGrid w:val="0"/>
        <w:spacing w:line="520" w:lineRule="exact"/>
        <w:ind w:firstLineChars="200" w:firstLine="600"/>
        <w:rPr>
          <w:rFonts w:ascii="仿宋_GB2312" w:eastAsia="仿宋_GB2312"/>
          <w:sz w:val="30"/>
          <w:szCs w:val="30"/>
        </w:rPr>
      </w:pPr>
      <w:r w:rsidRPr="00557533">
        <w:rPr>
          <w:rFonts w:ascii="仿宋_GB2312" w:eastAsia="仿宋_GB2312"/>
          <w:sz w:val="30"/>
          <w:szCs w:val="30"/>
        </w:rPr>
        <w:t>1.</w:t>
      </w:r>
      <w:r w:rsidRPr="00557533">
        <w:rPr>
          <w:rFonts w:ascii="仿宋_GB2312" w:eastAsia="仿宋_GB2312" w:hint="eastAsia"/>
          <w:sz w:val="30"/>
          <w:szCs w:val="30"/>
        </w:rPr>
        <w:t>有效防止被投诉人损失进一步扩大。当前，被投诉或者被诉侵权产品的销售很</w:t>
      </w:r>
      <w:r>
        <w:rPr>
          <w:rFonts w:ascii="仿宋_GB2312" w:eastAsia="仿宋_GB2312" w:hint="eastAsia"/>
          <w:sz w:val="30"/>
          <w:szCs w:val="30"/>
        </w:rPr>
        <w:t>大程度上依赖于商誉和口碑积累以及销售时机的把握。尽管法院最终</w:t>
      </w:r>
      <w:r w:rsidRPr="00557533">
        <w:rPr>
          <w:rFonts w:ascii="仿宋_GB2312" w:eastAsia="仿宋_GB2312" w:hint="eastAsia"/>
          <w:sz w:val="30"/>
          <w:szCs w:val="30"/>
        </w:rPr>
        <w:t>判决将还被诉侵权人以公道，但网络交易瞬息万变特别是网络客户特有的粘性，往往使得被断开的销售链接可能给被诉侵权人造成难以弥补的损失</w:t>
      </w:r>
      <w:r>
        <w:rPr>
          <w:rFonts w:ascii="仿宋_GB2312" w:eastAsia="仿宋_GB2312" w:hint="eastAsia"/>
          <w:sz w:val="30"/>
          <w:szCs w:val="30"/>
        </w:rPr>
        <w:t>，</w:t>
      </w:r>
      <w:r w:rsidRPr="00557533">
        <w:rPr>
          <w:rFonts w:ascii="仿宋_GB2312" w:eastAsia="仿宋_GB2312" w:hint="eastAsia"/>
          <w:sz w:val="30"/>
          <w:szCs w:val="30"/>
        </w:rPr>
        <w:t>特别是一些特殊商品具有较强的季节性。在销售旺季，若不及时恢复被删除的销售链接，可能造成被投诉人或其被</w:t>
      </w:r>
      <w:r>
        <w:rPr>
          <w:rFonts w:ascii="仿宋_GB2312" w:eastAsia="仿宋_GB2312" w:hint="eastAsia"/>
          <w:sz w:val="30"/>
          <w:szCs w:val="30"/>
        </w:rPr>
        <w:t>诉产品所积累的商誉和口碑的持续消减和损失，以及交易机会的丧失，</w:t>
      </w:r>
      <w:r w:rsidRPr="00557533">
        <w:rPr>
          <w:rFonts w:ascii="仿宋_GB2312" w:eastAsia="仿宋_GB2312" w:hint="eastAsia"/>
          <w:sz w:val="30"/>
          <w:szCs w:val="30"/>
        </w:rPr>
        <w:t>造成难以弥补的损失。本案即是夏季蚊帐这一特殊商品，且删除链接是在“</w:t>
      </w:r>
      <w:r w:rsidRPr="00557533">
        <w:rPr>
          <w:rFonts w:ascii="仿宋_GB2312" w:eastAsia="仿宋_GB2312"/>
          <w:sz w:val="30"/>
          <w:szCs w:val="30"/>
        </w:rPr>
        <w:t>6.18</w:t>
      </w:r>
      <w:r w:rsidRPr="00557533">
        <w:rPr>
          <w:rFonts w:ascii="仿宋_GB2312" w:eastAsia="仿宋_GB2312" w:hint="eastAsia"/>
          <w:sz w:val="30"/>
          <w:szCs w:val="30"/>
        </w:rPr>
        <w:t>”大型网络购物推广活动之前这一关键时间点。因此，法院在</w:t>
      </w:r>
      <w:r w:rsidRPr="00557533">
        <w:rPr>
          <w:rFonts w:ascii="仿宋_GB2312" w:eastAsia="仿宋_GB2312"/>
          <w:sz w:val="30"/>
          <w:szCs w:val="30"/>
        </w:rPr>
        <w:t>6</w:t>
      </w:r>
      <w:r w:rsidRPr="00557533">
        <w:rPr>
          <w:rFonts w:ascii="仿宋_GB2312" w:eastAsia="仿宋_GB2312" w:hint="eastAsia"/>
          <w:sz w:val="30"/>
          <w:szCs w:val="30"/>
        </w:rPr>
        <w:t>月</w:t>
      </w:r>
      <w:r w:rsidRPr="00557533">
        <w:rPr>
          <w:rFonts w:ascii="仿宋_GB2312" w:eastAsia="仿宋_GB2312"/>
          <w:sz w:val="30"/>
          <w:szCs w:val="30"/>
        </w:rPr>
        <w:t>14</w:t>
      </w:r>
      <w:r w:rsidRPr="00557533">
        <w:rPr>
          <w:rFonts w:ascii="仿宋_GB2312" w:eastAsia="仿宋_GB2312" w:hint="eastAsia"/>
          <w:sz w:val="30"/>
          <w:szCs w:val="30"/>
        </w:rPr>
        <w:t>日及时下达了先予恢复被删除链接的裁定，起到了积极效果。</w:t>
      </w:r>
    </w:p>
    <w:p w:rsidR="00D906DC" w:rsidRPr="00557533" w:rsidRDefault="00D906DC" w:rsidP="005F3E79">
      <w:pPr>
        <w:adjustRightInd w:val="0"/>
        <w:snapToGrid w:val="0"/>
        <w:spacing w:line="520" w:lineRule="exact"/>
        <w:ind w:firstLineChars="200" w:firstLine="600"/>
        <w:rPr>
          <w:rFonts w:ascii="仿宋_GB2312" w:eastAsia="仿宋_GB2312"/>
          <w:sz w:val="30"/>
          <w:szCs w:val="30"/>
        </w:rPr>
      </w:pPr>
      <w:r w:rsidRPr="00557533">
        <w:rPr>
          <w:rFonts w:ascii="仿宋_GB2312" w:eastAsia="仿宋_GB2312"/>
          <w:sz w:val="30"/>
          <w:szCs w:val="30"/>
        </w:rPr>
        <w:lastRenderedPageBreak/>
        <w:t>2.</w:t>
      </w:r>
      <w:r w:rsidRPr="00557533">
        <w:rPr>
          <w:rFonts w:ascii="仿宋_GB2312" w:eastAsia="仿宋_GB2312" w:hint="eastAsia"/>
          <w:sz w:val="30"/>
          <w:szCs w:val="30"/>
        </w:rPr>
        <w:t>弥补现有《电子商务法》规定的不足。电子商务平台针对当事人投诉，要向被投诉人通知，然后待被投诉人申诉后，将申诉</w:t>
      </w:r>
      <w:r>
        <w:rPr>
          <w:rFonts w:ascii="仿宋_GB2312" w:eastAsia="仿宋_GB2312" w:hint="eastAsia"/>
          <w:sz w:val="30"/>
          <w:szCs w:val="30"/>
        </w:rPr>
        <w:t>材料转通知给投诉人。</w:t>
      </w:r>
      <w:r w:rsidRPr="00557533">
        <w:rPr>
          <w:rFonts w:ascii="仿宋_GB2312" w:eastAsia="仿宋_GB2312" w:hint="eastAsia"/>
          <w:sz w:val="30"/>
          <w:szCs w:val="30"/>
        </w:rPr>
        <w:t>《电子商务法》第四十三条给予投诉人“十五日等待期”以决定是否撤回投诉或向法院起诉等。此时，网购平台才可能决定是否</w:t>
      </w:r>
      <w:r>
        <w:rPr>
          <w:rFonts w:ascii="仿宋_GB2312" w:eastAsia="仿宋_GB2312" w:hint="eastAsia"/>
          <w:sz w:val="30"/>
          <w:szCs w:val="30"/>
        </w:rPr>
        <w:t>恢复被删除或断开的链接。如上所述，经过如此程序和期间，可能使</w:t>
      </w:r>
      <w:r w:rsidRPr="00557533">
        <w:rPr>
          <w:rFonts w:ascii="仿宋_GB2312" w:eastAsia="仿宋_GB2312" w:hint="eastAsia"/>
          <w:sz w:val="30"/>
          <w:szCs w:val="30"/>
        </w:rPr>
        <w:t>网络销售商</w:t>
      </w:r>
      <w:r>
        <w:rPr>
          <w:rFonts w:ascii="仿宋_GB2312" w:eastAsia="仿宋_GB2312" w:hint="eastAsia"/>
          <w:sz w:val="30"/>
          <w:szCs w:val="30"/>
        </w:rPr>
        <w:t>丧失商机，</w:t>
      </w:r>
      <w:r w:rsidRPr="00557533">
        <w:rPr>
          <w:rFonts w:ascii="仿宋_GB2312" w:eastAsia="仿宋_GB2312" w:hint="eastAsia"/>
          <w:sz w:val="30"/>
          <w:szCs w:val="30"/>
        </w:rPr>
        <w:t>造成</w:t>
      </w:r>
      <w:r>
        <w:rPr>
          <w:rFonts w:ascii="仿宋_GB2312" w:eastAsia="仿宋_GB2312" w:hint="eastAsia"/>
          <w:sz w:val="30"/>
          <w:szCs w:val="30"/>
        </w:rPr>
        <w:t>其</w:t>
      </w:r>
      <w:r w:rsidRPr="00557533">
        <w:rPr>
          <w:rFonts w:ascii="仿宋_GB2312" w:eastAsia="仿宋_GB2312" w:hint="eastAsia"/>
          <w:sz w:val="30"/>
          <w:szCs w:val="30"/>
        </w:rPr>
        <w:t>难以弥补的损失，尤其是针对销售旺季的热销品。在这方面，《电子商务法》存在明显缺陷，无法解决这一迫切的现实问题。而南京中院的反向行为保全裁定创新</w:t>
      </w:r>
      <w:r>
        <w:rPr>
          <w:rFonts w:ascii="仿宋_GB2312" w:eastAsia="仿宋_GB2312" w:hint="eastAsia"/>
          <w:sz w:val="30"/>
          <w:szCs w:val="30"/>
        </w:rPr>
        <w:t>并有效解决了这一难</w:t>
      </w:r>
      <w:r w:rsidRPr="00557533">
        <w:rPr>
          <w:rFonts w:ascii="仿宋_GB2312" w:eastAsia="仿宋_GB2312" w:hint="eastAsia"/>
          <w:sz w:val="30"/>
          <w:szCs w:val="30"/>
        </w:rPr>
        <w:t>题。</w:t>
      </w:r>
    </w:p>
    <w:p w:rsidR="00D906DC" w:rsidRPr="00557533" w:rsidRDefault="00D906DC" w:rsidP="005F3E79">
      <w:pPr>
        <w:adjustRightInd w:val="0"/>
        <w:snapToGrid w:val="0"/>
        <w:spacing w:line="520" w:lineRule="exact"/>
        <w:ind w:firstLineChars="200" w:firstLine="600"/>
        <w:rPr>
          <w:rFonts w:ascii="仿宋_GB2312" w:eastAsia="仿宋_GB2312"/>
          <w:sz w:val="30"/>
          <w:szCs w:val="30"/>
        </w:rPr>
      </w:pPr>
      <w:r w:rsidRPr="00557533">
        <w:rPr>
          <w:rFonts w:ascii="仿宋_GB2312" w:eastAsia="仿宋_GB2312"/>
          <w:sz w:val="30"/>
          <w:szCs w:val="30"/>
        </w:rPr>
        <w:t>3.</w:t>
      </w:r>
      <w:r w:rsidRPr="00557533">
        <w:rPr>
          <w:rFonts w:ascii="仿宋_GB2312" w:eastAsia="仿宋_GB2312" w:hint="eastAsia"/>
          <w:sz w:val="30"/>
          <w:szCs w:val="30"/>
        </w:rPr>
        <w:t>有效</w:t>
      </w:r>
      <w:r>
        <w:rPr>
          <w:rFonts w:ascii="仿宋_GB2312" w:eastAsia="仿宋_GB2312" w:hint="eastAsia"/>
          <w:sz w:val="30"/>
          <w:szCs w:val="30"/>
        </w:rPr>
        <w:t>阻却恶意投诉。当前网络购物平台上同业竞争者利用《电子商务法》</w:t>
      </w:r>
      <w:r w:rsidRPr="00557533">
        <w:rPr>
          <w:rFonts w:ascii="仿宋_GB2312" w:eastAsia="仿宋_GB2312" w:hint="eastAsia"/>
          <w:sz w:val="30"/>
          <w:szCs w:val="30"/>
        </w:rPr>
        <w:t>规定的不足进行恶意投诉，实现不正当竞争目的的情形较为常见。本案可以有效解决这一困境，有利于促进电子商务健康发展。</w:t>
      </w:r>
    </w:p>
    <w:p w:rsidR="00D906DC" w:rsidRPr="00F54982" w:rsidRDefault="00D906DC" w:rsidP="00E711DA">
      <w:pPr>
        <w:pStyle w:val="1"/>
      </w:pPr>
      <w:r>
        <w:br w:type="page"/>
      </w:r>
      <w:bookmarkStart w:id="18" w:name="_Toc33644652"/>
      <w:bookmarkStart w:id="19" w:name="_Toc38029057"/>
      <w:r w:rsidRPr="00F54982">
        <w:lastRenderedPageBreak/>
        <w:t>8.</w:t>
      </w:r>
      <w:r w:rsidRPr="00F54982">
        <w:rPr>
          <w:rFonts w:hint="eastAsia"/>
        </w:rPr>
        <w:t>明知无正当权利基础仍起诉他人</w:t>
      </w:r>
      <w:r>
        <w:rPr>
          <w:rFonts w:hint="eastAsia"/>
        </w:rPr>
        <w:t>的</w:t>
      </w:r>
      <w:r w:rsidRPr="00F54982">
        <w:rPr>
          <w:rFonts w:hint="eastAsia"/>
        </w:rPr>
        <w:t>恶意提起知识产权诉讼</w:t>
      </w:r>
      <w:bookmarkEnd w:id="18"/>
      <w:r>
        <w:rPr>
          <w:rFonts w:hint="eastAsia"/>
        </w:rPr>
        <w:t>案</w:t>
      </w:r>
      <w:bookmarkEnd w:id="19"/>
    </w:p>
    <w:p w:rsidR="00D906DC" w:rsidRPr="00F54982" w:rsidRDefault="00D906DC" w:rsidP="00E711DA">
      <w:pPr>
        <w:pStyle w:val="2"/>
      </w:pPr>
      <w:bookmarkStart w:id="20" w:name="_Toc33644653"/>
      <w:bookmarkStart w:id="21" w:name="_Toc38029058"/>
      <w:r w:rsidRPr="00F54982">
        <w:t>——</w:t>
      </w:r>
      <w:r w:rsidRPr="00F54982">
        <w:rPr>
          <w:rFonts w:hint="eastAsia"/>
        </w:rPr>
        <w:t>宿迁市洋河镇天下秀酒业有限公司诉宿迁市洋河镇御缘酿酒厂恶意提起知识产权损害责任纠纷案</w:t>
      </w:r>
      <w:bookmarkEnd w:id="20"/>
      <w:bookmarkEnd w:id="21"/>
    </w:p>
    <w:p w:rsidR="00D906DC" w:rsidRPr="007A5ED7" w:rsidRDefault="00D906DC" w:rsidP="005F3E79">
      <w:pPr>
        <w:adjustRightInd w:val="0"/>
        <w:snapToGrid w:val="0"/>
        <w:spacing w:line="520" w:lineRule="exact"/>
        <w:ind w:firstLineChars="200" w:firstLine="600"/>
        <w:rPr>
          <w:rFonts w:ascii="仿宋_GB2312" w:eastAsia="仿宋_GB2312"/>
          <w:sz w:val="30"/>
          <w:szCs w:val="30"/>
        </w:rPr>
      </w:pPr>
    </w:p>
    <w:p w:rsidR="00D906DC" w:rsidRPr="007A5ED7" w:rsidRDefault="00D906DC" w:rsidP="005F3E79">
      <w:pPr>
        <w:adjustRightInd w:val="0"/>
        <w:snapToGrid w:val="0"/>
        <w:spacing w:line="520" w:lineRule="exact"/>
        <w:ind w:firstLineChars="200" w:firstLine="602"/>
        <w:rPr>
          <w:rFonts w:ascii="仿宋_GB2312" w:eastAsia="仿宋_GB2312"/>
          <w:b/>
          <w:bCs/>
          <w:sz w:val="30"/>
          <w:szCs w:val="30"/>
        </w:rPr>
      </w:pPr>
      <w:r w:rsidRPr="007A5ED7">
        <w:rPr>
          <w:rFonts w:ascii="仿宋_GB2312" w:eastAsia="仿宋_GB2312" w:hint="eastAsia"/>
          <w:b/>
          <w:bCs/>
          <w:sz w:val="30"/>
          <w:szCs w:val="30"/>
        </w:rPr>
        <w:t>【案件信息】</w:t>
      </w:r>
    </w:p>
    <w:p w:rsidR="00D906DC" w:rsidRPr="007A5ED7" w:rsidRDefault="00D906DC" w:rsidP="005F3E79">
      <w:pPr>
        <w:adjustRightInd w:val="0"/>
        <w:snapToGrid w:val="0"/>
        <w:spacing w:line="520" w:lineRule="exact"/>
        <w:ind w:firstLineChars="200" w:firstLine="600"/>
        <w:rPr>
          <w:rFonts w:ascii="仿宋_GB2312" w:eastAsia="仿宋_GB2312"/>
          <w:sz w:val="30"/>
          <w:szCs w:val="30"/>
        </w:rPr>
      </w:pPr>
      <w:r w:rsidRPr="007A5ED7">
        <w:rPr>
          <w:rFonts w:ascii="仿宋_GB2312" w:eastAsia="仿宋_GB2312" w:hint="eastAsia"/>
          <w:sz w:val="30"/>
          <w:szCs w:val="30"/>
        </w:rPr>
        <w:t>案号：南京中院</w:t>
      </w:r>
      <w:r w:rsidRPr="007A5ED7">
        <w:rPr>
          <w:rFonts w:ascii="仿宋_GB2312" w:eastAsia="仿宋_GB2312"/>
          <w:sz w:val="30"/>
          <w:szCs w:val="30"/>
        </w:rPr>
        <w:t>(2017)</w:t>
      </w:r>
      <w:r w:rsidRPr="007A5ED7">
        <w:rPr>
          <w:rFonts w:ascii="仿宋_GB2312" w:eastAsia="仿宋_GB2312" w:hint="eastAsia"/>
          <w:sz w:val="30"/>
          <w:szCs w:val="30"/>
        </w:rPr>
        <w:t>苏</w:t>
      </w:r>
      <w:r w:rsidRPr="007A5ED7">
        <w:rPr>
          <w:rFonts w:ascii="仿宋_GB2312" w:eastAsia="仿宋_GB2312"/>
          <w:sz w:val="30"/>
          <w:szCs w:val="30"/>
        </w:rPr>
        <w:t>01</w:t>
      </w:r>
      <w:r w:rsidRPr="007A5ED7">
        <w:rPr>
          <w:rFonts w:ascii="仿宋_GB2312" w:eastAsia="仿宋_GB2312" w:hint="eastAsia"/>
          <w:sz w:val="30"/>
          <w:szCs w:val="30"/>
        </w:rPr>
        <w:t>民初</w:t>
      </w:r>
      <w:r w:rsidRPr="007A5ED7">
        <w:rPr>
          <w:rFonts w:ascii="仿宋_GB2312" w:eastAsia="仿宋_GB2312"/>
          <w:sz w:val="30"/>
          <w:szCs w:val="30"/>
        </w:rPr>
        <w:t>1368</w:t>
      </w:r>
      <w:r w:rsidRPr="007A5ED7">
        <w:rPr>
          <w:rFonts w:ascii="仿宋_GB2312" w:eastAsia="仿宋_GB2312" w:hint="eastAsia"/>
          <w:sz w:val="30"/>
          <w:szCs w:val="30"/>
        </w:rPr>
        <w:t>号</w:t>
      </w:r>
    </w:p>
    <w:p w:rsidR="00D906DC" w:rsidRPr="007A5ED7" w:rsidRDefault="00D906DC" w:rsidP="005F3E79">
      <w:pPr>
        <w:adjustRightInd w:val="0"/>
        <w:snapToGrid w:val="0"/>
        <w:spacing w:line="520" w:lineRule="exact"/>
        <w:ind w:firstLineChars="500" w:firstLine="1500"/>
        <w:rPr>
          <w:rFonts w:ascii="仿宋_GB2312" w:eastAsia="仿宋_GB2312"/>
          <w:sz w:val="30"/>
          <w:szCs w:val="30"/>
        </w:rPr>
      </w:pPr>
      <w:r w:rsidRPr="007A5ED7">
        <w:rPr>
          <w:rFonts w:ascii="仿宋_GB2312" w:eastAsia="仿宋_GB2312" w:hint="eastAsia"/>
          <w:sz w:val="30"/>
          <w:szCs w:val="30"/>
        </w:rPr>
        <w:t>江苏高院（</w:t>
      </w:r>
      <w:r w:rsidRPr="007A5ED7">
        <w:rPr>
          <w:rFonts w:ascii="仿宋_GB2312" w:eastAsia="仿宋_GB2312"/>
          <w:sz w:val="30"/>
          <w:szCs w:val="30"/>
        </w:rPr>
        <w:t>2018</w:t>
      </w:r>
      <w:r w:rsidRPr="007A5ED7">
        <w:rPr>
          <w:rFonts w:ascii="仿宋_GB2312" w:eastAsia="仿宋_GB2312" w:hint="eastAsia"/>
          <w:sz w:val="30"/>
          <w:szCs w:val="30"/>
        </w:rPr>
        <w:t>）苏民终</w:t>
      </w:r>
      <w:r w:rsidRPr="007A5ED7">
        <w:rPr>
          <w:rFonts w:ascii="仿宋_GB2312" w:eastAsia="仿宋_GB2312"/>
          <w:sz w:val="30"/>
          <w:szCs w:val="30"/>
        </w:rPr>
        <w:t>119</w:t>
      </w:r>
      <w:r w:rsidRPr="007A5ED7">
        <w:rPr>
          <w:rFonts w:ascii="仿宋_GB2312" w:eastAsia="仿宋_GB2312" w:hint="eastAsia"/>
          <w:sz w:val="30"/>
          <w:szCs w:val="30"/>
        </w:rPr>
        <w:t>号</w:t>
      </w:r>
    </w:p>
    <w:p w:rsidR="00D906DC" w:rsidRPr="007A5ED7" w:rsidRDefault="00D906DC" w:rsidP="005F3E79">
      <w:pPr>
        <w:adjustRightInd w:val="0"/>
        <w:snapToGrid w:val="0"/>
        <w:spacing w:line="520" w:lineRule="exact"/>
        <w:ind w:firstLineChars="200" w:firstLine="600"/>
        <w:rPr>
          <w:rFonts w:ascii="仿宋_GB2312" w:eastAsia="仿宋_GB2312"/>
          <w:sz w:val="30"/>
          <w:szCs w:val="30"/>
        </w:rPr>
      </w:pPr>
      <w:r w:rsidRPr="007A5ED7">
        <w:rPr>
          <w:rFonts w:ascii="仿宋_GB2312" w:eastAsia="仿宋_GB2312" w:hint="eastAsia"/>
          <w:sz w:val="30"/>
          <w:szCs w:val="30"/>
        </w:rPr>
        <w:t>原告：宿迁市洋河镇天下秀酒业有限公司</w:t>
      </w:r>
    </w:p>
    <w:p w:rsidR="00D906DC" w:rsidRPr="007A5ED7" w:rsidRDefault="00D906DC" w:rsidP="005F3E79">
      <w:pPr>
        <w:adjustRightInd w:val="0"/>
        <w:snapToGrid w:val="0"/>
        <w:spacing w:line="520" w:lineRule="exact"/>
        <w:ind w:firstLineChars="200" w:firstLine="600"/>
        <w:rPr>
          <w:rFonts w:ascii="仿宋_GB2312" w:eastAsia="仿宋_GB2312"/>
          <w:sz w:val="30"/>
          <w:szCs w:val="30"/>
        </w:rPr>
      </w:pPr>
      <w:r w:rsidRPr="007A5ED7">
        <w:rPr>
          <w:rFonts w:ascii="仿宋_GB2312" w:eastAsia="仿宋_GB2312" w:hint="eastAsia"/>
          <w:sz w:val="30"/>
          <w:szCs w:val="30"/>
        </w:rPr>
        <w:t>被告：宿迁市洋河镇御缘酿酒厂</w:t>
      </w:r>
    </w:p>
    <w:p w:rsidR="00D906DC" w:rsidRPr="007A5ED7" w:rsidRDefault="00D906DC" w:rsidP="005F3E79">
      <w:pPr>
        <w:adjustRightInd w:val="0"/>
        <w:snapToGrid w:val="0"/>
        <w:spacing w:line="520" w:lineRule="exact"/>
        <w:ind w:firstLineChars="200" w:firstLine="602"/>
        <w:rPr>
          <w:rFonts w:ascii="仿宋_GB2312" w:eastAsia="仿宋_GB2312"/>
          <w:b/>
          <w:bCs/>
          <w:sz w:val="30"/>
          <w:szCs w:val="30"/>
        </w:rPr>
      </w:pPr>
      <w:r w:rsidRPr="007A5ED7">
        <w:rPr>
          <w:rFonts w:ascii="仿宋_GB2312" w:eastAsia="仿宋_GB2312" w:hint="eastAsia"/>
          <w:b/>
          <w:bCs/>
          <w:sz w:val="30"/>
          <w:szCs w:val="30"/>
        </w:rPr>
        <w:t>【裁判要旨】</w:t>
      </w:r>
    </w:p>
    <w:p w:rsidR="00D906DC" w:rsidRPr="007A5ED7" w:rsidRDefault="00D906DC" w:rsidP="005F3E79">
      <w:pPr>
        <w:adjustRightInd w:val="0"/>
        <w:snapToGrid w:val="0"/>
        <w:spacing w:line="520" w:lineRule="exact"/>
        <w:ind w:firstLineChars="200" w:firstLine="600"/>
        <w:rPr>
          <w:rFonts w:ascii="仿宋_GB2312" w:eastAsia="仿宋_GB2312"/>
          <w:sz w:val="30"/>
          <w:szCs w:val="30"/>
        </w:rPr>
      </w:pPr>
      <w:r w:rsidRPr="007A5ED7">
        <w:rPr>
          <w:rFonts w:ascii="仿宋_GB2312" w:eastAsia="仿宋_GB2312"/>
          <w:sz w:val="30"/>
          <w:szCs w:val="30"/>
        </w:rPr>
        <w:t>1</w:t>
      </w:r>
      <w:r>
        <w:rPr>
          <w:rFonts w:ascii="仿宋_GB2312" w:eastAsia="仿宋_GB2312" w:hint="eastAsia"/>
          <w:sz w:val="30"/>
          <w:szCs w:val="30"/>
        </w:rPr>
        <w:t>．</w:t>
      </w:r>
      <w:r w:rsidRPr="007A5ED7">
        <w:rPr>
          <w:rFonts w:ascii="仿宋_GB2312" w:eastAsia="仿宋_GB2312" w:hint="eastAsia"/>
          <w:sz w:val="30"/>
          <w:szCs w:val="30"/>
        </w:rPr>
        <w:t>行为人利用外观设计专利授权不实质审查等制度设计，违反《专利法》第</w:t>
      </w:r>
      <w:r>
        <w:rPr>
          <w:rFonts w:ascii="仿宋_GB2312" w:eastAsia="仿宋_GB2312" w:hint="eastAsia"/>
          <w:sz w:val="30"/>
          <w:szCs w:val="30"/>
        </w:rPr>
        <w:t>二十三</w:t>
      </w:r>
      <w:r w:rsidRPr="007A5ED7">
        <w:rPr>
          <w:rFonts w:ascii="仿宋_GB2312" w:eastAsia="仿宋_GB2312" w:hint="eastAsia"/>
          <w:sz w:val="30"/>
          <w:szCs w:val="30"/>
        </w:rPr>
        <w:t>条第</w:t>
      </w:r>
      <w:r>
        <w:rPr>
          <w:rFonts w:ascii="仿宋_GB2312" w:eastAsia="仿宋_GB2312" w:hint="eastAsia"/>
          <w:sz w:val="30"/>
          <w:szCs w:val="30"/>
        </w:rPr>
        <w:t>三</w:t>
      </w:r>
      <w:r w:rsidRPr="007A5ED7">
        <w:rPr>
          <w:rFonts w:ascii="仿宋_GB2312" w:eastAsia="仿宋_GB2312" w:hint="eastAsia"/>
          <w:sz w:val="30"/>
          <w:szCs w:val="30"/>
        </w:rPr>
        <w:t>款的规定，有意将他人在先注册商标作为其申请外观设计专利的一部分，在侵害他人合法权利的基础上获得形式上“合法”的知识产权。该权利不具有实质意义上的正当性。</w:t>
      </w:r>
    </w:p>
    <w:p w:rsidR="00D906DC" w:rsidRPr="007A5ED7" w:rsidRDefault="00D906DC" w:rsidP="005F3E79">
      <w:pPr>
        <w:adjustRightInd w:val="0"/>
        <w:snapToGrid w:val="0"/>
        <w:spacing w:line="520" w:lineRule="exact"/>
        <w:ind w:firstLineChars="200" w:firstLine="600"/>
        <w:rPr>
          <w:rFonts w:ascii="仿宋_GB2312" w:eastAsia="仿宋_GB2312"/>
          <w:sz w:val="30"/>
          <w:szCs w:val="30"/>
        </w:rPr>
      </w:pPr>
      <w:r>
        <w:rPr>
          <w:rFonts w:ascii="仿宋_GB2312" w:eastAsia="仿宋_GB2312"/>
          <w:sz w:val="30"/>
          <w:szCs w:val="30"/>
        </w:rPr>
        <w:t>2.</w:t>
      </w:r>
      <w:r w:rsidRPr="007A5ED7">
        <w:rPr>
          <w:rFonts w:ascii="仿宋_GB2312" w:eastAsia="仿宋_GB2312" w:hint="eastAsia"/>
          <w:sz w:val="30"/>
          <w:szCs w:val="30"/>
        </w:rPr>
        <w:t>行为人明知其获得的知识产权不具有实质意义上正当性，仍以该形式上合法的知识产权对他人提起侵权诉讼并诉请赔偿，系违反民事诉讼诚信原则，滥用诉讼权利的恶意提起知识产权诉讼的行为，应</w:t>
      </w:r>
      <w:r>
        <w:rPr>
          <w:rFonts w:ascii="仿宋_GB2312" w:eastAsia="仿宋_GB2312" w:hint="eastAsia"/>
          <w:sz w:val="30"/>
          <w:szCs w:val="30"/>
        </w:rPr>
        <w:t>当</w:t>
      </w:r>
      <w:r w:rsidRPr="007A5ED7">
        <w:rPr>
          <w:rFonts w:ascii="仿宋_GB2312" w:eastAsia="仿宋_GB2312" w:hint="eastAsia"/>
          <w:sz w:val="30"/>
          <w:szCs w:val="30"/>
        </w:rPr>
        <w:t>承担赔偿由此给他人造成的损失等法律责任。</w:t>
      </w:r>
    </w:p>
    <w:p w:rsidR="00D906DC" w:rsidRPr="007A5ED7" w:rsidRDefault="00D906DC" w:rsidP="005F3E79">
      <w:pPr>
        <w:adjustRightInd w:val="0"/>
        <w:snapToGrid w:val="0"/>
        <w:spacing w:line="520" w:lineRule="exact"/>
        <w:ind w:firstLineChars="200" w:firstLine="602"/>
        <w:rPr>
          <w:rFonts w:ascii="仿宋_GB2312" w:eastAsia="仿宋_GB2312"/>
          <w:b/>
          <w:bCs/>
          <w:sz w:val="30"/>
          <w:szCs w:val="30"/>
        </w:rPr>
      </w:pPr>
      <w:r w:rsidRPr="007A5ED7">
        <w:rPr>
          <w:rFonts w:ascii="仿宋_GB2312" w:eastAsia="仿宋_GB2312" w:hint="eastAsia"/>
          <w:b/>
          <w:bCs/>
          <w:sz w:val="30"/>
          <w:szCs w:val="30"/>
        </w:rPr>
        <w:t>【基本案情】</w:t>
      </w:r>
    </w:p>
    <w:p w:rsidR="00D906DC" w:rsidRPr="007A5ED7" w:rsidRDefault="00D906DC" w:rsidP="005F3E79">
      <w:pPr>
        <w:adjustRightInd w:val="0"/>
        <w:snapToGrid w:val="0"/>
        <w:spacing w:line="520" w:lineRule="exact"/>
        <w:ind w:firstLineChars="200" w:firstLine="600"/>
        <w:rPr>
          <w:rFonts w:ascii="仿宋_GB2312" w:eastAsia="仿宋_GB2312"/>
          <w:sz w:val="30"/>
          <w:szCs w:val="30"/>
        </w:rPr>
      </w:pPr>
      <w:r w:rsidRPr="007A5ED7">
        <w:rPr>
          <w:rFonts w:ascii="仿宋_GB2312" w:eastAsia="仿宋_GB2312"/>
          <w:sz w:val="30"/>
          <w:szCs w:val="30"/>
        </w:rPr>
        <w:t>2013</w:t>
      </w:r>
      <w:r w:rsidRPr="007A5ED7">
        <w:rPr>
          <w:rFonts w:ascii="仿宋_GB2312" w:eastAsia="仿宋_GB2312" w:hint="eastAsia"/>
          <w:sz w:val="30"/>
          <w:szCs w:val="30"/>
        </w:rPr>
        <w:t>年</w:t>
      </w:r>
      <w:r w:rsidRPr="007A5ED7">
        <w:rPr>
          <w:rFonts w:ascii="仿宋_GB2312" w:eastAsia="仿宋_GB2312"/>
          <w:sz w:val="30"/>
          <w:szCs w:val="30"/>
        </w:rPr>
        <w:t>7</w:t>
      </w:r>
      <w:r w:rsidRPr="007A5ED7">
        <w:rPr>
          <w:rFonts w:ascii="仿宋_GB2312" w:eastAsia="仿宋_GB2312" w:hint="eastAsia"/>
          <w:sz w:val="30"/>
          <w:szCs w:val="30"/>
        </w:rPr>
        <w:t>月</w:t>
      </w:r>
      <w:r w:rsidRPr="007A5ED7">
        <w:rPr>
          <w:rFonts w:ascii="仿宋_GB2312" w:eastAsia="仿宋_GB2312"/>
          <w:sz w:val="30"/>
          <w:szCs w:val="30"/>
        </w:rPr>
        <w:t>10</w:t>
      </w:r>
      <w:r w:rsidRPr="007A5ED7">
        <w:rPr>
          <w:rFonts w:ascii="仿宋_GB2312" w:eastAsia="仿宋_GB2312" w:hint="eastAsia"/>
          <w:sz w:val="30"/>
          <w:szCs w:val="30"/>
        </w:rPr>
        <w:t>日，宿迁市洋河镇御缘酿酒厂（以下简称御缘酿酒厂）员工李志兵向国家知识产权局申请了</w:t>
      </w:r>
      <w:r w:rsidRPr="007A5ED7">
        <w:rPr>
          <w:rFonts w:ascii="仿宋_GB2312" w:eastAsia="仿宋_GB2312"/>
          <w:sz w:val="30"/>
          <w:szCs w:val="30"/>
        </w:rPr>
        <w:t>ZL201330319767.7</w:t>
      </w:r>
      <w:r w:rsidRPr="007A5ED7">
        <w:rPr>
          <w:rFonts w:ascii="仿宋_GB2312" w:eastAsia="仿宋_GB2312" w:hint="eastAsia"/>
          <w:sz w:val="30"/>
          <w:szCs w:val="30"/>
        </w:rPr>
        <w:t>“酒盒（中国梦传奇</w:t>
      </w:r>
      <w:r w:rsidRPr="007A5ED7">
        <w:rPr>
          <w:rFonts w:ascii="仿宋_GB2312" w:eastAsia="仿宋_GB2312"/>
          <w:sz w:val="30"/>
          <w:szCs w:val="30"/>
        </w:rPr>
        <w:t>3</w:t>
      </w:r>
      <w:r w:rsidRPr="007A5ED7">
        <w:rPr>
          <w:rFonts w:ascii="仿宋_GB2312" w:eastAsia="仿宋_GB2312" w:hint="eastAsia"/>
          <w:sz w:val="30"/>
          <w:szCs w:val="30"/>
        </w:rPr>
        <w:t>）”、</w:t>
      </w:r>
      <w:r w:rsidRPr="007A5ED7">
        <w:rPr>
          <w:rFonts w:ascii="仿宋_GB2312" w:eastAsia="仿宋_GB2312"/>
          <w:sz w:val="30"/>
          <w:szCs w:val="30"/>
        </w:rPr>
        <w:t>ZL201330319762.4</w:t>
      </w:r>
      <w:r w:rsidRPr="007A5ED7">
        <w:rPr>
          <w:rFonts w:ascii="仿宋_GB2312" w:eastAsia="仿宋_GB2312" w:hint="eastAsia"/>
          <w:sz w:val="30"/>
          <w:szCs w:val="30"/>
        </w:rPr>
        <w:t>“酒盒（中国梦传奇</w:t>
      </w:r>
      <w:r w:rsidRPr="007A5ED7">
        <w:rPr>
          <w:rFonts w:ascii="仿宋_GB2312" w:eastAsia="仿宋_GB2312"/>
          <w:sz w:val="30"/>
          <w:szCs w:val="30"/>
        </w:rPr>
        <w:t>6</w:t>
      </w:r>
      <w:r w:rsidRPr="007A5ED7">
        <w:rPr>
          <w:rFonts w:ascii="仿宋_GB2312" w:eastAsia="仿宋_GB2312" w:hint="eastAsia"/>
          <w:sz w:val="30"/>
          <w:szCs w:val="30"/>
        </w:rPr>
        <w:t>）”、</w:t>
      </w:r>
      <w:r w:rsidRPr="007A5ED7">
        <w:rPr>
          <w:rFonts w:ascii="仿宋_GB2312" w:eastAsia="仿宋_GB2312"/>
          <w:sz w:val="30"/>
          <w:szCs w:val="30"/>
        </w:rPr>
        <w:t>ZL201330319966.8</w:t>
      </w:r>
      <w:r w:rsidRPr="007A5ED7">
        <w:rPr>
          <w:rFonts w:ascii="仿宋_GB2312" w:eastAsia="仿宋_GB2312" w:hint="eastAsia"/>
          <w:sz w:val="30"/>
          <w:szCs w:val="30"/>
        </w:rPr>
        <w:t>“酒盒（中国梦传奇</w:t>
      </w:r>
      <w:r w:rsidRPr="007A5ED7">
        <w:rPr>
          <w:rFonts w:ascii="仿宋_GB2312" w:eastAsia="仿宋_GB2312"/>
          <w:sz w:val="30"/>
          <w:szCs w:val="30"/>
        </w:rPr>
        <w:t>9</w:t>
      </w:r>
      <w:r w:rsidRPr="007A5ED7">
        <w:rPr>
          <w:rFonts w:ascii="仿宋_GB2312" w:eastAsia="仿宋_GB2312" w:hint="eastAsia"/>
          <w:sz w:val="30"/>
          <w:szCs w:val="30"/>
        </w:rPr>
        <w:t>）”、</w:t>
      </w:r>
      <w:r w:rsidRPr="007A5ED7">
        <w:rPr>
          <w:rFonts w:ascii="仿宋_GB2312" w:eastAsia="仿宋_GB2312"/>
          <w:sz w:val="30"/>
          <w:szCs w:val="30"/>
        </w:rPr>
        <w:t>ZL201330319766.2</w:t>
      </w:r>
      <w:r w:rsidRPr="007A5ED7">
        <w:rPr>
          <w:rFonts w:ascii="仿宋_GB2312" w:eastAsia="仿宋_GB2312" w:hint="eastAsia"/>
          <w:sz w:val="30"/>
          <w:szCs w:val="30"/>
        </w:rPr>
        <w:t>“酒瓶（中国梦传奇</w:t>
      </w:r>
      <w:r w:rsidRPr="007A5ED7">
        <w:rPr>
          <w:rFonts w:ascii="仿宋_GB2312" w:eastAsia="仿宋_GB2312"/>
          <w:sz w:val="30"/>
          <w:szCs w:val="30"/>
        </w:rPr>
        <w:t>9</w:t>
      </w:r>
      <w:r w:rsidRPr="007A5ED7">
        <w:rPr>
          <w:rFonts w:ascii="仿宋_GB2312" w:eastAsia="仿宋_GB2312" w:hint="eastAsia"/>
          <w:sz w:val="30"/>
          <w:szCs w:val="30"/>
        </w:rPr>
        <w:t>）”四件外观设计专利（以下简称涉案专利），</w:t>
      </w:r>
      <w:r w:rsidRPr="007A5ED7">
        <w:rPr>
          <w:rFonts w:ascii="仿宋_GB2312" w:eastAsia="仿宋_GB2312"/>
          <w:sz w:val="30"/>
          <w:szCs w:val="30"/>
        </w:rPr>
        <w:t>2013</w:t>
      </w:r>
      <w:r w:rsidRPr="007A5ED7">
        <w:rPr>
          <w:rFonts w:ascii="仿宋_GB2312" w:eastAsia="仿宋_GB2312" w:hint="eastAsia"/>
          <w:sz w:val="30"/>
          <w:szCs w:val="30"/>
        </w:rPr>
        <w:lastRenderedPageBreak/>
        <w:t>年</w:t>
      </w:r>
      <w:r w:rsidRPr="007A5ED7">
        <w:rPr>
          <w:rFonts w:ascii="仿宋_GB2312" w:eastAsia="仿宋_GB2312"/>
          <w:sz w:val="30"/>
          <w:szCs w:val="30"/>
        </w:rPr>
        <w:t>12</w:t>
      </w:r>
      <w:r w:rsidRPr="007A5ED7">
        <w:rPr>
          <w:rFonts w:ascii="仿宋_GB2312" w:eastAsia="仿宋_GB2312" w:hint="eastAsia"/>
          <w:sz w:val="30"/>
          <w:szCs w:val="30"/>
        </w:rPr>
        <w:t>月</w:t>
      </w:r>
      <w:r w:rsidRPr="007A5ED7">
        <w:rPr>
          <w:rFonts w:ascii="仿宋_GB2312" w:eastAsia="仿宋_GB2312"/>
          <w:sz w:val="30"/>
          <w:szCs w:val="30"/>
        </w:rPr>
        <w:t>4</w:t>
      </w:r>
      <w:r w:rsidRPr="007A5ED7">
        <w:rPr>
          <w:rFonts w:ascii="仿宋_GB2312" w:eastAsia="仿宋_GB2312" w:hint="eastAsia"/>
          <w:sz w:val="30"/>
          <w:szCs w:val="30"/>
        </w:rPr>
        <w:t>日获得授权。后李志兵以独占许可的方式许可御缘酿酒厂实施涉案专利。</w:t>
      </w:r>
      <w:r w:rsidRPr="007A5ED7">
        <w:rPr>
          <w:rFonts w:ascii="仿宋_GB2312" w:eastAsia="仿宋_GB2312"/>
          <w:sz w:val="30"/>
          <w:szCs w:val="30"/>
        </w:rPr>
        <w:t>2016</w:t>
      </w:r>
      <w:r w:rsidRPr="007A5ED7">
        <w:rPr>
          <w:rFonts w:ascii="仿宋_GB2312" w:eastAsia="仿宋_GB2312" w:hint="eastAsia"/>
          <w:sz w:val="30"/>
          <w:szCs w:val="30"/>
        </w:rPr>
        <w:t>年</w:t>
      </w:r>
      <w:r w:rsidRPr="007A5ED7">
        <w:rPr>
          <w:rFonts w:ascii="仿宋_GB2312" w:eastAsia="仿宋_GB2312"/>
          <w:sz w:val="30"/>
          <w:szCs w:val="30"/>
        </w:rPr>
        <w:t>6</w:t>
      </w:r>
      <w:r w:rsidRPr="007A5ED7">
        <w:rPr>
          <w:rFonts w:ascii="仿宋_GB2312" w:eastAsia="仿宋_GB2312" w:hint="eastAsia"/>
          <w:sz w:val="30"/>
          <w:szCs w:val="30"/>
        </w:rPr>
        <w:t>月，御缘酿酒厂以涉案专利独占实施被许可人的身份，向南京中院提起（</w:t>
      </w:r>
      <w:r w:rsidRPr="007A5ED7">
        <w:rPr>
          <w:rFonts w:ascii="仿宋_GB2312" w:eastAsia="仿宋_GB2312"/>
          <w:sz w:val="30"/>
          <w:szCs w:val="30"/>
        </w:rPr>
        <w:t>2016</w:t>
      </w:r>
      <w:r w:rsidRPr="007A5ED7">
        <w:rPr>
          <w:rFonts w:ascii="仿宋_GB2312" w:eastAsia="仿宋_GB2312" w:hint="eastAsia"/>
          <w:sz w:val="30"/>
          <w:szCs w:val="30"/>
        </w:rPr>
        <w:t>）苏</w:t>
      </w:r>
      <w:r w:rsidRPr="007A5ED7">
        <w:rPr>
          <w:rFonts w:ascii="仿宋_GB2312" w:eastAsia="仿宋_GB2312"/>
          <w:sz w:val="30"/>
          <w:szCs w:val="30"/>
        </w:rPr>
        <w:t>01</w:t>
      </w:r>
      <w:r w:rsidRPr="007A5ED7">
        <w:rPr>
          <w:rFonts w:ascii="仿宋_GB2312" w:eastAsia="仿宋_GB2312" w:hint="eastAsia"/>
          <w:sz w:val="30"/>
          <w:szCs w:val="30"/>
        </w:rPr>
        <w:t>民初</w:t>
      </w:r>
      <w:r w:rsidRPr="007A5ED7">
        <w:rPr>
          <w:rFonts w:ascii="仿宋_GB2312" w:eastAsia="仿宋_GB2312"/>
          <w:sz w:val="30"/>
          <w:szCs w:val="30"/>
        </w:rPr>
        <w:t>858</w:t>
      </w:r>
      <w:r w:rsidRPr="007A5ED7">
        <w:rPr>
          <w:rFonts w:ascii="仿宋_GB2312" w:eastAsia="仿宋_GB2312" w:hint="eastAsia"/>
          <w:sz w:val="30"/>
          <w:szCs w:val="30"/>
        </w:rPr>
        <w:t>、</w:t>
      </w:r>
      <w:r w:rsidRPr="007A5ED7">
        <w:rPr>
          <w:rFonts w:ascii="仿宋_GB2312" w:eastAsia="仿宋_GB2312"/>
          <w:sz w:val="30"/>
          <w:szCs w:val="30"/>
        </w:rPr>
        <w:t>859</w:t>
      </w:r>
      <w:r w:rsidRPr="007A5ED7">
        <w:rPr>
          <w:rFonts w:ascii="仿宋_GB2312" w:eastAsia="仿宋_GB2312" w:hint="eastAsia"/>
          <w:sz w:val="30"/>
          <w:szCs w:val="30"/>
        </w:rPr>
        <w:t>、</w:t>
      </w:r>
      <w:r w:rsidRPr="007A5ED7">
        <w:rPr>
          <w:rFonts w:ascii="仿宋_GB2312" w:eastAsia="仿宋_GB2312"/>
          <w:sz w:val="30"/>
          <w:szCs w:val="30"/>
        </w:rPr>
        <w:t>860</w:t>
      </w:r>
      <w:r w:rsidRPr="007A5ED7">
        <w:rPr>
          <w:rFonts w:ascii="仿宋_GB2312" w:eastAsia="仿宋_GB2312" w:hint="eastAsia"/>
          <w:sz w:val="30"/>
          <w:szCs w:val="30"/>
        </w:rPr>
        <w:t>号三个案件诉讼，主张宿迁市洋河镇天下秀酒业有限公司（以下简称天下秀公司）生产销售的三种白酒产品侵害了其涉案专利权，并要求天下秀公司停止生产销售并赔偿损失。</w:t>
      </w:r>
      <w:r w:rsidRPr="007A5ED7">
        <w:rPr>
          <w:rFonts w:ascii="仿宋_GB2312" w:eastAsia="仿宋_GB2312"/>
          <w:sz w:val="30"/>
          <w:szCs w:val="30"/>
        </w:rPr>
        <w:t>2016</w:t>
      </w:r>
      <w:r w:rsidRPr="007A5ED7">
        <w:rPr>
          <w:rFonts w:ascii="仿宋_GB2312" w:eastAsia="仿宋_GB2312" w:hint="eastAsia"/>
          <w:sz w:val="30"/>
          <w:szCs w:val="30"/>
        </w:rPr>
        <w:t>年</w:t>
      </w:r>
      <w:r w:rsidRPr="007A5ED7">
        <w:rPr>
          <w:rFonts w:ascii="仿宋_GB2312" w:eastAsia="仿宋_GB2312"/>
          <w:sz w:val="30"/>
          <w:szCs w:val="30"/>
        </w:rPr>
        <w:t>12</w:t>
      </w:r>
      <w:r w:rsidRPr="007A5ED7">
        <w:rPr>
          <w:rFonts w:ascii="仿宋_GB2312" w:eastAsia="仿宋_GB2312" w:hint="eastAsia"/>
          <w:sz w:val="30"/>
          <w:szCs w:val="30"/>
        </w:rPr>
        <w:t>月，国家知识产权局专利复审委员会以涉案专利上标注的“洋河”与江苏洋河酒厂股份有限公司（以下简称洋河酒厂）第</w:t>
      </w:r>
      <w:r w:rsidRPr="007A5ED7">
        <w:rPr>
          <w:rFonts w:ascii="仿宋_GB2312" w:eastAsia="仿宋_GB2312"/>
          <w:sz w:val="30"/>
          <w:szCs w:val="30"/>
        </w:rPr>
        <w:t>1470448</w:t>
      </w:r>
      <w:r w:rsidRPr="007A5ED7">
        <w:rPr>
          <w:rFonts w:ascii="仿宋_GB2312" w:eastAsia="仿宋_GB2312" w:hint="eastAsia"/>
          <w:sz w:val="30"/>
          <w:szCs w:val="30"/>
        </w:rPr>
        <w:t>号注册商标的“洋河”构成相似商标，易使相关公众对商品来源产生误认或者认为其来源与第</w:t>
      </w:r>
      <w:r w:rsidRPr="007A5ED7">
        <w:rPr>
          <w:rFonts w:ascii="仿宋_GB2312" w:eastAsia="仿宋_GB2312"/>
          <w:sz w:val="30"/>
          <w:szCs w:val="30"/>
        </w:rPr>
        <w:t>1470448</w:t>
      </w:r>
      <w:r w:rsidRPr="007A5ED7">
        <w:rPr>
          <w:rFonts w:ascii="仿宋_GB2312" w:eastAsia="仿宋_GB2312" w:hint="eastAsia"/>
          <w:sz w:val="30"/>
          <w:szCs w:val="30"/>
        </w:rPr>
        <w:t>号注册商标的商品有特定的联系，涉案专利与他人在申请日以前已经取得的合法权利相冲突，不符合专利法第</w:t>
      </w:r>
      <w:r>
        <w:rPr>
          <w:rFonts w:ascii="仿宋_GB2312" w:eastAsia="仿宋_GB2312" w:hint="eastAsia"/>
          <w:sz w:val="30"/>
          <w:szCs w:val="30"/>
        </w:rPr>
        <w:t>二十三</w:t>
      </w:r>
      <w:r w:rsidRPr="007A5ED7">
        <w:rPr>
          <w:rFonts w:ascii="仿宋_GB2312" w:eastAsia="仿宋_GB2312" w:hint="eastAsia"/>
          <w:sz w:val="30"/>
          <w:szCs w:val="30"/>
        </w:rPr>
        <w:t>条第</w:t>
      </w:r>
      <w:r>
        <w:rPr>
          <w:rFonts w:ascii="仿宋_GB2312" w:eastAsia="仿宋_GB2312" w:hint="eastAsia"/>
          <w:sz w:val="30"/>
          <w:szCs w:val="30"/>
        </w:rPr>
        <w:t>三</w:t>
      </w:r>
      <w:r w:rsidRPr="007A5ED7">
        <w:rPr>
          <w:rFonts w:ascii="仿宋_GB2312" w:eastAsia="仿宋_GB2312" w:hint="eastAsia"/>
          <w:sz w:val="30"/>
          <w:szCs w:val="30"/>
        </w:rPr>
        <w:t>款的规定，作出第</w:t>
      </w:r>
      <w:r w:rsidRPr="007A5ED7">
        <w:rPr>
          <w:rFonts w:ascii="仿宋_GB2312" w:eastAsia="仿宋_GB2312"/>
          <w:sz w:val="30"/>
          <w:szCs w:val="30"/>
        </w:rPr>
        <w:t>30928</w:t>
      </w:r>
      <w:r w:rsidRPr="007A5ED7">
        <w:rPr>
          <w:rFonts w:ascii="仿宋_GB2312" w:eastAsia="仿宋_GB2312" w:hint="eastAsia"/>
          <w:sz w:val="30"/>
          <w:szCs w:val="30"/>
        </w:rPr>
        <w:t>、</w:t>
      </w:r>
      <w:r w:rsidRPr="007A5ED7">
        <w:rPr>
          <w:rFonts w:ascii="仿宋_GB2312" w:eastAsia="仿宋_GB2312"/>
          <w:sz w:val="30"/>
          <w:szCs w:val="30"/>
        </w:rPr>
        <w:t>30929</w:t>
      </w:r>
      <w:r w:rsidRPr="007A5ED7">
        <w:rPr>
          <w:rFonts w:ascii="仿宋_GB2312" w:eastAsia="仿宋_GB2312" w:hint="eastAsia"/>
          <w:sz w:val="30"/>
          <w:szCs w:val="30"/>
        </w:rPr>
        <w:t>、</w:t>
      </w:r>
      <w:r w:rsidRPr="007A5ED7">
        <w:rPr>
          <w:rFonts w:ascii="仿宋_GB2312" w:eastAsia="仿宋_GB2312"/>
          <w:sz w:val="30"/>
          <w:szCs w:val="30"/>
        </w:rPr>
        <w:t>30930</w:t>
      </w:r>
      <w:r w:rsidRPr="007A5ED7">
        <w:rPr>
          <w:rFonts w:ascii="仿宋_GB2312" w:eastAsia="仿宋_GB2312" w:hint="eastAsia"/>
          <w:sz w:val="30"/>
          <w:szCs w:val="30"/>
        </w:rPr>
        <w:t>、</w:t>
      </w:r>
      <w:r w:rsidRPr="007A5ED7">
        <w:rPr>
          <w:rFonts w:ascii="仿宋_GB2312" w:eastAsia="仿宋_GB2312"/>
          <w:sz w:val="30"/>
          <w:szCs w:val="30"/>
        </w:rPr>
        <w:t>30937</w:t>
      </w:r>
      <w:r w:rsidRPr="007A5ED7">
        <w:rPr>
          <w:rFonts w:ascii="仿宋_GB2312" w:eastAsia="仿宋_GB2312" w:hint="eastAsia"/>
          <w:sz w:val="30"/>
          <w:szCs w:val="30"/>
        </w:rPr>
        <w:t>号《无效宣告请求审查决定书》，宣告上述四件外观设计专利权全部无效。针对（</w:t>
      </w:r>
      <w:r w:rsidRPr="007A5ED7">
        <w:rPr>
          <w:rFonts w:ascii="仿宋_GB2312" w:eastAsia="仿宋_GB2312"/>
          <w:sz w:val="30"/>
          <w:szCs w:val="30"/>
        </w:rPr>
        <w:t>2016</w:t>
      </w:r>
      <w:r w:rsidRPr="007A5ED7">
        <w:rPr>
          <w:rFonts w:ascii="仿宋_GB2312" w:eastAsia="仿宋_GB2312" w:hint="eastAsia"/>
          <w:sz w:val="30"/>
          <w:szCs w:val="30"/>
        </w:rPr>
        <w:t>）苏</w:t>
      </w:r>
      <w:r w:rsidRPr="007A5ED7">
        <w:rPr>
          <w:rFonts w:ascii="仿宋_GB2312" w:eastAsia="仿宋_GB2312"/>
          <w:sz w:val="30"/>
          <w:szCs w:val="30"/>
        </w:rPr>
        <w:t>01</w:t>
      </w:r>
      <w:r w:rsidRPr="007A5ED7">
        <w:rPr>
          <w:rFonts w:ascii="仿宋_GB2312" w:eastAsia="仿宋_GB2312" w:hint="eastAsia"/>
          <w:sz w:val="30"/>
          <w:szCs w:val="30"/>
        </w:rPr>
        <w:t>民初</w:t>
      </w:r>
      <w:r w:rsidRPr="007A5ED7">
        <w:rPr>
          <w:rFonts w:ascii="仿宋_GB2312" w:eastAsia="仿宋_GB2312"/>
          <w:sz w:val="30"/>
          <w:szCs w:val="30"/>
        </w:rPr>
        <w:t>858</w:t>
      </w:r>
      <w:r w:rsidRPr="007A5ED7">
        <w:rPr>
          <w:rFonts w:ascii="仿宋_GB2312" w:eastAsia="仿宋_GB2312" w:hint="eastAsia"/>
          <w:sz w:val="30"/>
          <w:szCs w:val="30"/>
        </w:rPr>
        <w:t>、</w:t>
      </w:r>
      <w:r w:rsidRPr="007A5ED7">
        <w:rPr>
          <w:rFonts w:ascii="仿宋_GB2312" w:eastAsia="仿宋_GB2312"/>
          <w:sz w:val="30"/>
          <w:szCs w:val="30"/>
        </w:rPr>
        <w:t>859</w:t>
      </w:r>
      <w:r w:rsidRPr="007A5ED7">
        <w:rPr>
          <w:rFonts w:ascii="仿宋_GB2312" w:eastAsia="仿宋_GB2312" w:hint="eastAsia"/>
          <w:sz w:val="30"/>
          <w:szCs w:val="30"/>
        </w:rPr>
        <w:t>、</w:t>
      </w:r>
      <w:r w:rsidRPr="007A5ED7">
        <w:rPr>
          <w:rFonts w:ascii="仿宋_GB2312" w:eastAsia="仿宋_GB2312"/>
          <w:sz w:val="30"/>
          <w:szCs w:val="30"/>
        </w:rPr>
        <w:t>860</w:t>
      </w:r>
      <w:r w:rsidRPr="007A5ED7">
        <w:rPr>
          <w:rFonts w:ascii="仿宋_GB2312" w:eastAsia="仿宋_GB2312" w:hint="eastAsia"/>
          <w:sz w:val="30"/>
          <w:szCs w:val="30"/>
        </w:rPr>
        <w:t>号三个案件，南京中院依法裁定驳回了御缘酿酒厂的起诉。</w:t>
      </w:r>
    </w:p>
    <w:p w:rsidR="00D906DC" w:rsidRPr="007A5ED7" w:rsidRDefault="00D906DC" w:rsidP="005F3E79">
      <w:pPr>
        <w:adjustRightInd w:val="0"/>
        <w:snapToGrid w:val="0"/>
        <w:spacing w:line="520" w:lineRule="exact"/>
        <w:ind w:firstLineChars="200" w:firstLine="600"/>
        <w:rPr>
          <w:rFonts w:ascii="仿宋_GB2312" w:eastAsia="仿宋_GB2312"/>
          <w:sz w:val="30"/>
          <w:szCs w:val="30"/>
        </w:rPr>
      </w:pPr>
      <w:r w:rsidRPr="007A5ED7">
        <w:rPr>
          <w:rFonts w:ascii="仿宋_GB2312" w:eastAsia="仿宋_GB2312" w:hint="eastAsia"/>
          <w:sz w:val="30"/>
          <w:szCs w:val="30"/>
        </w:rPr>
        <w:t>天下秀公司认为御缘酿酒厂明知恶意获得专利权，仍起诉天下秀公司侵权，属于恶意提起知识产权诉讼，要求御缘酿酒厂赔偿其损失，包括律师费</w:t>
      </w:r>
      <w:r w:rsidRPr="007A5ED7">
        <w:rPr>
          <w:rFonts w:ascii="仿宋_GB2312" w:eastAsia="仿宋_GB2312"/>
          <w:sz w:val="30"/>
          <w:szCs w:val="30"/>
        </w:rPr>
        <w:t>13.2</w:t>
      </w:r>
      <w:r w:rsidRPr="007A5ED7">
        <w:rPr>
          <w:rFonts w:ascii="仿宋_GB2312" w:eastAsia="仿宋_GB2312" w:hint="eastAsia"/>
          <w:sz w:val="30"/>
          <w:szCs w:val="30"/>
        </w:rPr>
        <w:t>万元、差旅费</w:t>
      </w:r>
      <w:r w:rsidRPr="007A5ED7">
        <w:rPr>
          <w:rFonts w:ascii="仿宋_GB2312" w:eastAsia="仿宋_GB2312"/>
          <w:sz w:val="30"/>
          <w:szCs w:val="30"/>
        </w:rPr>
        <w:t>3725</w:t>
      </w:r>
      <w:r w:rsidRPr="007A5ED7">
        <w:rPr>
          <w:rFonts w:ascii="仿宋_GB2312" w:eastAsia="仿宋_GB2312" w:hint="eastAsia"/>
          <w:sz w:val="30"/>
          <w:szCs w:val="30"/>
        </w:rPr>
        <w:t>元、专利无效宣告请求费</w:t>
      </w:r>
      <w:r w:rsidRPr="007A5ED7">
        <w:rPr>
          <w:rFonts w:ascii="仿宋_GB2312" w:eastAsia="仿宋_GB2312"/>
          <w:sz w:val="30"/>
          <w:szCs w:val="30"/>
        </w:rPr>
        <w:t>4500</w:t>
      </w:r>
      <w:r w:rsidRPr="007A5ED7">
        <w:rPr>
          <w:rFonts w:ascii="仿宋_GB2312" w:eastAsia="仿宋_GB2312" w:hint="eastAsia"/>
          <w:sz w:val="30"/>
          <w:szCs w:val="30"/>
        </w:rPr>
        <w:t>元以及商誉损失共计</w:t>
      </w:r>
      <w:r w:rsidRPr="007A5ED7">
        <w:rPr>
          <w:rFonts w:ascii="仿宋_GB2312" w:eastAsia="仿宋_GB2312"/>
          <w:sz w:val="30"/>
          <w:szCs w:val="30"/>
        </w:rPr>
        <w:t>30</w:t>
      </w:r>
      <w:r w:rsidRPr="007A5ED7">
        <w:rPr>
          <w:rFonts w:ascii="仿宋_GB2312" w:eastAsia="仿宋_GB2312" w:hint="eastAsia"/>
          <w:sz w:val="30"/>
          <w:szCs w:val="30"/>
        </w:rPr>
        <w:t>万元。</w:t>
      </w:r>
    </w:p>
    <w:p w:rsidR="00D906DC" w:rsidRPr="007A5ED7" w:rsidRDefault="00D906DC" w:rsidP="005F3E79">
      <w:pPr>
        <w:adjustRightInd w:val="0"/>
        <w:snapToGrid w:val="0"/>
        <w:spacing w:line="520" w:lineRule="exact"/>
        <w:ind w:firstLineChars="200" w:firstLine="600"/>
        <w:rPr>
          <w:rFonts w:ascii="仿宋_GB2312" w:eastAsia="仿宋_GB2312"/>
          <w:sz w:val="30"/>
          <w:szCs w:val="30"/>
        </w:rPr>
      </w:pPr>
      <w:r w:rsidRPr="007A5ED7">
        <w:rPr>
          <w:rFonts w:ascii="仿宋_GB2312" w:eastAsia="仿宋_GB2312" w:hint="eastAsia"/>
          <w:sz w:val="30"/>
          <w:szCs w:val="30"/>
        </w:rPr>
        <w:t>天下秀公司以江苏省宿迁市中级人民法院（</w:t>
      </w:r>
      <w:r w:rsidRPr="007A5ED7">
        <w:rPr>
          <w:rFonts w:ascii="仿宋_GB2312" w:eastAsia="仿宋_GB2312"/>
          <w:sz w:val="30"/>
          <w:szCs w:val="30"/>
        </w:rPr>
        <w:t>2013</w:t>
      </w:r>
      <w:r w:rsidRPr="007A5ED7">
        <w:rPr>
          <w:rFonts w:ascii="仿宋_GB2312" w:eastAsia="仿宋_GB2312" w:hint="eastAsia"/>
          <w:sz w:val="30"/>
          <w:szCs w:val="30"/>
        </w:rPr>
        <w:t>）宿中知民初字第</w:t>
      </w:r>
      <w:r w:rsidRPr="007A5ED7">
        <w:rPr>
          <w:rFonts w:ascii="仿宋_GB2312" w:eastAsia="仿宋_GB2312"/>
          <w:sz w:val="30"/>
          <w:szCs w:val="30"/>
        </w:rPr>
        <w:t>0047</w:t>
      </w:r>
      <w:r w:rsidRPr="007A5ED7">
        <w:rPr>
          <w:rFonts w:ascii="仿宋_GB2312" w:eastAsia="仿宋_GB2312" w:hint="eastAsia"/>
          <w:sz w:val="30"/>
          <w:szCs w:val="30"/>
        </w:rPr>
        <w:t>号判决书为证据。该判决书载明：</w:t>
      </w:r>
      <w:r w:rsidRPr="007A5ED7">
        <w:rPr>
          <w:rFonts w:ascii="仿宋_GB2312" w:eastAsia="仿宋_GB2312"/>
          <w:sz w:val="30"/>
          <w:szCs w:val="30"/>
        </w:rPr>
        <w:t>2011</w:t>
      </w:r>
      <w:r w:rsidRPr="007A5ED7">
        <w:rPr>
          <w:rFonts w:ascii="仿宋_GB2312" w:eastAsia="仿宋_GB2312" w:hint="eastAsia"/>
          <w:sz w:val="30"/>
          <w:szCs w:val="30"/>
        </w:rPr>
        <w:t>年</w:t>
      </w:r>
      <w:r w:rsidRPr="007A5ED7">
        <w:rPr>
          <w:rFonts w:ascii="仿宋_GB2312" w:eastAsia="仿宋_GB2312"/>
          <w:sz w:val="30"/>
          <w:szCs w:val="30"/>
        </w:rPr>
        <w:t>9</w:t>
      </w:r>
      <w:r w:rsidRPr="007A5ED7">
        <w:rPr>
          <w:rFonts w:ascii="仿宋_GB2312" w:eastAsia="仿宋_GB2312" w:hint="eastAsia"/>
          <w:sz w:val="30"/>
          <w:szCs w:val="30"/>
        </w:rPr>
        <w:t>月</w:t>
      </w:r>
      <w:r w:rsidRPr="007A5ED7">
        <w:rPr>
          <w:rFonts w:ascii="仿宋_GB2312" w:eastAsia="仿宋_GB2312"/>
          <w:sz w:val="30"/>
          <w:szCs w:val="30"/>
        </w:rPr>
        <w:t>6</w:t>
      </w:r>
      <w:r w:rsidRPr="007A5ED7">
        <w:rPr>
          <w:rFonts w:ascii="仿宋_GB2312" w:eastAsia="仿宋_GB2312" w:hint="eastAsia"/>
          <w:sz w:val="30"/>
          <w:szCs w:val="30"/>
        </w:rPr>
        <w:t>日，南京市工商行政管理局建邺分局的执法人员接到洋河酒厂投诉，认为沃尔玛（江苏）商业零售有限公司南京水西门大街分店销售的御缘酿酒厂生产的“</w:t>
      </w:r>
      <w:r w:rsidRPr="007A5ED7">
        <w:rPr>
          <w:rFonts w:ascii="仿宋_GB2312" w:eastAsia="仿宋_GB2312"/>
          <w:sz w:val="30"/>
          <w:szCs w:val="30"/>
        </w:rPr>
        <w:t>46</w:t>
      </w:r>
      <w:r w:rsidRPr="007A5ED7">
        <w:rPr>
          <w:rFonts w:ascii="仿宋_GB2312" w:eastAsia="仿宋_GB2312" w:hint="eastAsia"/>
          <w:sz w:val="30"/>
          <w:szCs w:val="30"/>
        </w:rPr>
        <w:t>度蓝色典藏</w:t>
      </w:r>
      <w:r w:rsidRPr="007A5ED7">
        <w:rPr>
          <w:rFonts w:ascii="仿宋_GB2312" w:eastAsia="仿宋_GB2312"/>
          <w:sz w:val="30"/>
          <w:szCs w:val="30"/>
        </w:rPr>
        <w:t>M6</w:t>
      </w:r>
      <w:r w:rsidRPr="007A5ED7">
        <w:rPr>
          <w:rFonts w:ascii="仿宋_GB2312" w:eastAsia="仿宋_GB2312" w:hint="eastAsia"/>
          <w:sz w:val="30"/>
          <w:szCs w:val="30"/>
        </w:rPr>
        <w:t>”“</w:t>
      </w:r>
      <w:r w:rsidRPr="007A5ED7">
        <w:rPr>
          <w:rFonts w:ascii="仿宋_GB2312" w:eastAsia="仿宋_GB2312"/>
          <w:sz w:val="30"/>
          <w:szCs w:val="30"/>
        </w:rPr>
        <w:t>42</w:t>
      </w:r>
      <w:r w:rsidRPr="007A5ED7">
        <w:rPr>
          <w:rFonts w:ascii="仿宋_GB2312" w:eastAsia="仿宋_GB2312" w:hint="eastAsia"/>
          <w:sz w:val="30"/>
          <w:szCs w:val="30"/>
        </w:rPr>
        <w:t>度蓝色典藏</w:t>
      </w:r>
      <w:r w:rsidRPr="007A5ED7">
        <w:rPr>
          <w:rFonts w:ascii="仿宋_GB2312" w:eastAsia="仿宋_GB2312"/>
          <w:sz w:val="30"/>
          <w:szCs w:val="30"/>
        </w:rPr>
        <w:t>A9</w:t>
      </w:r>
      <w:r w:rsidRPr="007A5ED7">
        <w:rPr>
          <w:rFonts w:ascii="仿宋_GB2312" w:eastAsia="仿宋_GB2312" w:hint="eastAsia"/>
          <w:sz w:val="30"/>
          <w:szCs w:val="30"/>
        </w:rPr>
        <w:t>”等系列白酒的外包装上均标有“中国洋河”或“江苏洋河”字样，“</w:t>
      </w:r>
      <w:r w:rsidRPr="007A5ED7">
        <w:rPr>
          <w:rFonts w:ascii="仿宋_GB2312" w:eastAsia="仿宋_GB2312"/>
          <w:sz w:val="30"/>
          <w:szCs w:val="30"/>
        </w:rPr>
        <w:t>42</w:t>
      </w:r>
      <w:r w:rsidRPr="007A5ED7">
        <w:rPr>
          <w:rFonts w:ascii="仿宋_GB2312" w:eastAsia="仿宋_GB2312" w:hint="eastAsia"/>
          <w:sz w:val="30"/>
          <w:szCs w:val="30"/>
        </w:rPr>
        <w:t>度蓝色典藏</w:t>
      </w:r>
      <w:r w:rsidRPr="007A5ED7">
        <w:rPr>
          <w:rFonts w:ascii="仿宋_GB2312" w:eastAsia="仿宋_GB2312"/>
          <w:sz w:val="30"/>
          <w:szCs w:val="30"/>
        </w:rPr>
        <w:t>A9</w:t>
      </w:r>
      <w:r w:rsidRPr="007A5ED7">
        <w:rPr>
          <w:rFonts w:ascii="仿宋_GB2312" w:eastAsia="仿宋_GB2312" w:hint="eastAsia"/>
          <w:sz w:val="30"/>
          <w:szCs w:val="30"/>
        </w:rPr>
        <w:t>”白酒</w:t>
      </w:r>
      <w:r w:rsidRPr="007A5ED7">
        <w:rPr>
          <w:rFonts w:ascii="仿宋_GB2312" w:eastAsia="仿宋_GB2312" w:hint="eastAsia"/>
          <w:sz w:val="30"/>
          <w:szCs w:val="30"/>
        </w:rPr>
        <w:lastRenderedPageBreak/>
        <w:t>酒瓶外形与洋河酒厂生产的“梦之蓝”酒瓶外形非常近似。</w:t>
      </w:r>
      <w:r w:rsidRPr="007A5ED7">
        <w:rPr>
          <w:rFonts w:ascii="仿宋_GB2312" w:eastAsia="仿宋_GB2312"/>
          <w:sz w:val="30"/>
          <w:szCs w:val="30"/>
        </w:rPr>
        <w:t>2011</w:t>
      </w:r>
      <w:r w:rsidRPr="007A5ED7">
        <w:rPr>
          <w:rFonts w:ascii="仿宋_GB2312" w:eastAsia="仿宋_GB2312" w:hint="eastAsia"/>
          <w:sz w:val="30"/>
          <w:szCs w:val="30"/>
        </w:rPr>
        <w:t>年</w:t>
      </w:r>
      <w:r w:rsidRPr="007A5ED7">
        <w:rPr>
          <w:rFonts w:ascii="仿宋_GB2312" w:eastAsia="仿宋_GB2312"/>
          <w:sz w:val="30"/>
          <w:szCs w:val="30"/>
        </w:rPr>
        <w:t>9</w:t>
      </w:r>
      <w:r w:rsidRPr="007A5ED7">
        <w:rPr>
          <w:rFonts w:ascii="仿宋_GB2312" w:eastAsia="仿宋_GB2312" w:hint="eastAsia"/>
          <w:sz w:val="30"/>
          <w:szCs w:val="30"/>
        </w:rPr>
        <w:t>月</w:t>
      </w:r>
      <w:r w:rsidRPr="007A5ED7">
        <w:rPr>
          <w:rFonts w:ascii="仿宋_GB2312" w:eastAsia="仿宋_GB2312"/>
          <w:sz w:val="30"/>
          <w:szCs w:val="30"/>
        </w:rPr>
        <w:t>30</w:t>
      </w:r>
      <w:r w:rsidRPr="007A5ED7">
        <w:rPr>
          <w:rFonts w:ascii="仿宋_GB2312" w:eastAsia="仿宋_GB2312" w:hint="eastAsia"/>
          <w:sz w:val="30"/>
          <w:szCs w:val="30"/>
        </w:rPr>
        <w:t>日，南京市工商行政管理局建邺分局对沃尔玛（江苏）商业零售有限公司南京水西门大街分店作出行政处罚，责令沃尔玛（江苏）商业零售有限公司南京水西门大街分店立即停止侵权行为。同时，该判决书认定由于御缘酿酒厂在其生产销售的“</w:t>
      </w:r>
      <w:r w:rsidRPr="007A5ED7">
        <w:rPr>
          <w:rFonts w:ascii="仿宋_GB2312" w:eastAsia="仿宋_GB2312"/>
          <w:sz w:val="30"/>
          <w:szCs w:val="30"/>
        </w:rPr>
        <w:t>46</w:t>
      </w:r>
      <w:r w:rsidRPr="007A5ED7">
        <w:rPr>
          <w:rFonts w:ascii="仿宋_GB2312" w:eastAsia="仿宋_GB2312" w:hint="eastAsia"/>
          <w:sz w:val="30"/>
          <w:szCs w:val="30"/>
        </w:rPr>
        <w:t>度蓝色典藏</w:t>
      </w:r>
      <w:r w:rsidRPr="007A5ED7">
        <w:rPr>
          <w:rFonts w:ascii="仿宋_GB2312" w:eastAsia="仿宋_GB2312"/>
          <w:sz w:val="30"/>
          <w:szCs w:val="30"/>
        </w:rPr>
        <w:t>M6</w:t>
      </w:r>
      <w:r w:rsidRPr="007A5ED7">
        <w:rPr>
          <w:rFonts w:ascii="仿宋_GB2312" w:eastAsia="仿宋_GB2312" w:hint="eastAsia"/>
          <w:sz w:val="30"/>
          <w:szCs w:val="30"/>
        </w:rPr>
        <w:t>”“</w:t>
      </w:r>
      <w:r w:rsidRPr="007A5ED7">
        <w:rPr>
          <w:rFonts w:ascii="仿宋_GB2312" w:eastAsia="仿宋_GB2312"/>
          <w:sz w:val="30"/>
          <w:szCs w:val="30"/>
        </w:rPr>
        <w:t>42</w:t>
      </w:r>
      <w:r w:rsidRPr="007A5ED7">
        <w:rPr>
          <w:rFonts w:ascii="仿宋_GB2312" w:eastAsia="仿宋_GB2312" w:hint="eastAsia"/>
          <w:sz w:val="30"/>
          <w:szCs w:val="30"/>
        </w:rPr>
        <w:t>度蓝色典藏</w:t>
      </w:r>
      <w:r w:rsidRPr="007A5ED7">
        <w:rPr>
          <w:rFonts w:ascii="仿宋_GB2312" w:eastAsia="仿宋_GB2312"/>
          <w:sz w:val="30"/>
          <w:szCs w:val="30"/>
        </w:rPr>
        <w:t>A9</w:t>
      </w:r>
      <w:r w:rsidRPr="007A5ED7">
        <w:rPr>
          <w:rFonts w:ascii="仿宋_GB2312" w:eastAsia="仿宋_GB2312" w:hint="eastAsia"/>
          <w:sz w:val="30"/>
          <w:szCs w:val="30"/>
        </w:rPr>
        <w:t>”“中国洋河</w:t>
      </w:r>
      <w:r w:rsidRPr="007A5ED7">
        <w:rPr>
          <w:rFonts w:ascii="仿宋_GB2312" w:eastAsia="仿宋_GB2312"/>
          <w:sz w:val="30"/>
          <w:szCs w:val="30"/>
        </w:rPr>
        <w:t>5A</w:t>
      </w:r>
      <w:r w:rsidRPr="007A5ED7">
        <w:rPr>
          <w:rFonts w:ascii="仿宋_GB2312" w:eastAsia="仿宋_GB2312" w:hint="eastAsia"/>
          <w:sz w:val="30"/>
          <w:szCs w:val="30"/>
        </w:rPr>
        <w:t>级</w:t>
      </w:r>
      <w:r w:rsidRPr="007A5ED7">
        <w:rPr>
          <w:rFonts w:ascii="仿宋_GB2312" w:eastAsia="仿宋_GB2312"/>
          <w:sz w:val="30"/>
          <w:szCs w:val="30"/>
        </w:rPr>
        <w:t>VIP</w:t>
      </w:r>
      <w:r w:rsidRPr="007A5ED7">
        <w:rPr>
          <w:rFonts w:ascii="仿宋_GB2312" w:eastAsia="仿宋_GB2312" w:hint="eastAsia"/>
          <w:sz w:val="30"/>
          <w:szCs w:val="30"/>
        </w:rPr>
        <w:t>专供酒”“中国洋河</w:t>
      </w:r>
      <w:r w:rsidRPr="007A5ED7">
        <w:rPr>
          <w:rFonts w:ascii="仿宋_GB2312" w:eastAsia="仿宋_GB2312"/>
          <w:sz w:val="30"/>
          <w:szCs w:val="30"/>
        </w:rPr>
        <w:t>5A</w:t>
      </w:r>
      <w:r w:rsidRPr="007A5ED7">
        <w:rPr>
          <w:rFonts w:ascii="仿宋_GB2312" w:eastAsia="仿宋_GB2312" w:hint="eastAsia"/>
          <w:sz w:val="30"/>
          <w:szCs w:val="30"/>
        </w:rPr>
        <w:t>级梦之蓝酒”等系列白酒的外包装上均标有“中国洋河”或“江苏洋河”字样，“</w:t>
      </w:r>
      <w:r w:rsidRPr="007A5ED7">
        <w:rPr>
          <w:rFonts w:ascii="仿宋_GB2312" w:eastAsia="仿宋_GB2312"/>
          <w:sz w:val="30"/>
          <w:szCs w:val="30"/>
        </w:rPr>
        <w:t>42</w:t>
      </w:r>
      <w:r w:rsidRPr="007A5ED7">
        <w:rPr>
          <w:rFonts w:ascii="仿宋_GB2312" w:eastAsia="仿宋_GB2312" w:hint="eastAsia"/>
          <w:sz w:val="30"/>
          <w:szCs w:val="30"/>
        </w:rPr>
        <w:t>度蓝色典藏</w:t>
      </w:r>
      <w:r w:rsidRPr="007A5ED7">
        <w:rPr>
          <w:rFonts w:ascii="仿宋_GB2312" w:eastAsia="仿宋_GB2312"/>
          <w:sz w:val="30"/>
          <w:szCs w:val="30"/>
        </w:rPr>
        <w:t>A9</w:t>
      </w:r>
      <w:r w:rsidRPr="007A5ED7">
        <w:rPr>
          <w:rFonts w:ascii="仿宋_GB2312" w:eastAsia="仿宋_GB2312" w:hint="eastAsia"/>
          <w:sz w:val="30"/>
          <w:szCs w:val="30"/>
        </w:rPr>
        <w:t>”白酒酒瓶外形与“梦之蓝”酒瓶外形非常近似，侵犯了洋河酒厂享有的第</w:t>
      </w:r>
      <w:r w:rsidRPr="007A5ED7">
        <w:rPr>
          <w:rFonts w:ascii="仿宋_GB2312" w:eastAsia="仿宋_GB2312"/>
          <w:sz w:val="30"/>
          <w:szCs w:val="30"/>
        </w:rPr>
        <w:t>1470448</w:t>
      </w:r>
      <w:r w:rsidRPr="007A5ED7">
        <w:rPr>
          <w:rFonts w:ascii="仿宋_GB2312" w:eastAsia="仿宋_GB2312" w:hint="eastAsia"/>
          <w:sz w:val="30"/>
          <w:szCs w:val="30"/>
        </w:rPr>
        <w:t>号“洋河”注册商标专用权。天下秀公司主张，该判决中认定的事实早于御缘酿酒厂申请涉案专利的申请日；</w:t>
      </w:r>
      <w:r w:rsidRPr="007A5ED7">
        <w:rPr>
          <w:rFonts w:ascii="仿宋_GB2312" w:eastAsia="仿宋_GB2312"/>
          <w:sz w:val="30"/>
          <w:szCs w:val="30"/>
        </w:rPr>
        <w:t>2014</w:t>
      </w:r>
      <w:r w:rsidRPr="007A5ED7">
        <w:rPr>
          <w:rFonts w:ascii="仿宋_GB2312" w:eastAsia="仿宋_GB2312" w:hint="eastAsia"/>
          <w:sz w:val="30"/>
          <w:szCs w:val="30"/>
        </w:rPr>
        <w:t>年</w:t>
      </w:r>
      <w:r w:rsidRPr="007A5ED7">
        <w:rPr>
          <w:rFonts w:ascii="仿宋_GB2312" w:eastAsia="仿宋_GB2312"/>
          <w:sz w:val="30"/>
          <w:szCs w:val="30"/>
        </w:rPr>
        <w:t>1</w:t>
      </w:r>
      <w:r w:rsidRPr="007A5ED7">
        <w:rPr>
          <w:rFonts w:ascii="仿宋_GB2312" w:eastAsia="仿宋_GB2312" w:hint="eastAsia"/>
          <w:sz w:val="30"/>
          <w:szCs w:val="30"/>
        </w:rPr>
        <w:t>月</w:t>
      </w:r>
      <w:r w:rsidRPr="007A5ED7">
        <w:rPr>
          <w:rFonts w:ascii="仿宋_GB2312" w:eastAsia="仿宋_GB2312"/>
          <w:sz w:val="30"/>
          <w:szCs w:val="30"/>
        </w:rPr>
        <w:t>7</w:t>
      </w:r>
      <w:r w:rsidRPr="007A5ED7">
        <w:rPr>
          <w:rFonts w:ascii="仿宋_GB2312" w:eastAsia="仿宋_GB2312" w:hint="eastAsia"/>
          <w:sz w:val="30"/>
          <w:szCs w:val="30"/>
        </w:rPr>
        <w:t>日御缘酿酒厂员工李银久申请的名称为“酒盒（中国梦红色）”，专利号为</w:t>
      </w:r>
      <w:r w:rsidRPr="007A5ED7">
        <w:rPr>
          <w:rFonts w:ascii="仿宋_GB2312" w:eastAsia="仿宋_GB2312"/>
          <w:sz w:val="30"/>
          <w:szCs w:val="30"/>
        </w:rPr>
        <w:t>201430003600.4</w:t>
      </w:r>
      <w:r w:rsidRPr="007A5ED7">
        <w:rPr>
          <w:rFonts w:ascii="仿宋_GB2312" w:eastAsia="仿宋_GB2312" w:hint="eastAsia"/>
          <w:sz w:val="30"/>
          <w:szCs w:val="30"/>
        </w:rPr>
        <w:t>的外观设计专利中，停止突出使用“洋河”，而改用“江苏洋河镇”字样</w:t>
      </w:r>
      <w:r>
        <w:rPr>
          <w:rFonts w:ascii="仿宋_GB2312" w:eastAsia="仿宋_GB2312" w:hint="eastAsia"/>
          <w:sz w:val="30"/>
          <w:szCs w:val="30"/>
        </w:rPr>
        <w:t>。</w:t>
      </w:r>
      <w:r w:rsidRPr="007A5ED7">
        <w:rPr>
          <w:rFonts w:ascii="仿宋_GB2312" w:eastAsia="仿宋_GB2312" w:hint="eastAsia"/>
          <w:sz w:val="30"/>
          <w:szCs w:val="30"/>
        </w:rPr>
        <w:t>综合以上事实，可以看出御缘酿酒厂明知其专利不符合授权条件，仍然起诉天下秀公司，主观上具有明显恶意。御缘酿酒厂认为该判决认定的是商标侵权，与外观设计专利权无关。李志兵如何申请专利是其自主行为。御缘酿酒厂主观上不存在恶意。</w:t>
      </w:r>
    </w:p>
    <w:p w:rsidR="00D906DC" w:rsidRPr="007A5ED7" w:rsidRDefault="00D906DC" w:rsidP="005F3E79">
      <w:pPr>
        <w:adjustRightInd w:val="0"/>
        <w:snapToGrid w:val="0"/>
        <w:spacing w:line="520" w:lineRule="exact"/>
        <w:ind w:firstLineChars="200" w:firstLine="600"/>
        <w:rPr>
          <w:rFonts w:ascii="仿宋_GB2312" w:eastAsia="仿宋_GB2312"/>
          <w:sz w:val="30"/>
          <w:szCs w:val="30"/>
        </w:rPr>
      </w:pPr>
      <w:r w:rsidRPr="007A5ED7">
        <w:rPr>
          <w:rFonts w:ascii="仿宋_GB2312" w:eastAsia="仿宋_GB2312" w:hint="eastAsia"/>
          <w:sz w:val="30"/>
          <w:szCs w:val="30"/>
        </w:rPr>
        <w:t>御缘酿酒厂提供了（</w:t>
      </w:r>
      <w:r w:rsidRPr="007A5ED7">
        <w:rPr>
          <w:rFonts w:ascii="仿宋_GB2312" w:eastAsia="仿宋_GB2312"/>
          <w:sz w:val="30"/>
          <w:szCs w:val="30"/>
        </w:rPr>
        <w:t>2015</w:t>
      </w:r>
      <w:r w:rsidRPr="007A5ED7">
        <w:rPr>
          <w:rFonts w:ascii="仿宋_GB2312" w:eastAsia="仿宋_GB2312" w:hint="eastAsia"/>
          <w:sz w:val="30"/>
          <w:szCs w:val="30"/>
        </w:rPr>
        <w:t>）镇知民初字第</w:t>
      </w:r>
      <w:r w:rsidRPr="007A5ED7">
        <w:rPr>
          <w:rFonts w:ascii="仿宋_GB2312" w:eastAsia="仿宋_GB2312"/>
          <w:sz w:val="30"/>
          <w:szCs w:val="30"/>
        </w:rPr>
        <w:t>73</w:t>
      </w:r>
      <w:r w:rsidRPr="007A5ED7">
        <w:rPr>
          <w:rFonts w:ascii="仿宋_GB2312" w:eastAsia="仿宋_GB2312" w:hint="eastAsia"/>
          <w:sz w:val="30"/>
          <w:szCs w:val="30"/>
        </w:rPr>
        <w:t>号判决书、（</w:t>
      </w:r>
      <w:r w:rsidRPr="007A5ED7">
        <w:rPr>
          <w:rFonts w:ascii="仿宋_GB2312" w:eastAsia="仿宋_GB2312"/>
          <w:sz w:val="30"/>
          <w:szCs w:val="30"/>
        </w:rPr>
        <w:t>2015</w:t>
      </w:r>
      <w:r w:rsidRPr="007A5ED7">
        <w:rPr>
          <w:rFonts w:ascii="仿宋_GB2312" w:eastAsia="仿宋_GB2312" w:hint="eastAsia"/>
          <w:sz w:val="30"/>
          <w:szCs w:val="30"/>
        </w:rPr>
        <w:t>）镇知民初字第</w:t>
      </w:r>
      <w:r w:rsidRPr="007A5ED7">
        <w:rPr>
          <w:rFonts w:ascii="仿宋_GB2312" w:eastAsia="仿宋_GB2312"/>
          <w:sz w:val="30"/>
          <w:szCs w:val="30"/>
        </w:rPr>
        <w:t>74</w:t>
      </w:r>
      <w:r w:rsidRPr="007A5ED7">
        <w:rPr>
          <w:rFonts w:ascii="仿宋_GB2312" w:eastAsia="仿宋_GB2312" w:hint="eastAsia"/>
          <w:sz w:val="30"/>
          <w:szCs w:val="30"/>
        </w:rPr>
        <w:t>号判决书、和解协议及保证书等证据。御缘酿酒厂主张上述证据可以证明，其针对涉案专利分别于</w:t>
      </w:r>
      <w:r w:rsidRPr="007A5ED7">
        <w:rPr>
          <w:rFonts w:ascii="仿宋_GB2312" w:eastAsia="仿宋_GB2312"/>
          <w:sz w:val="30"/>
          <w:szCs w:val="30"/>
        </w:rPr>
        <w:t>2015</w:t>
      </w:r>
      <w:r w:rsidRPr="007A5ED7">
        <w:rPr>
          <w:rFonts w:ascii="仿宋_GB2312" w:eastAsia="仿宋_GB2312" w:hint="eastAsia"/>
          <w:sz w:val="30"/>
          <w:szCs w:val="30"/>
        </w:rPr>
        <w:t>年、</w:t>
      </w:r>
      <w:r w:rsidRPr="007A5ED7">
        <w:rPr>
          <w:rFonts w:ascii="仿宋_GB2312" w:eastAsia="仿宋_GB2312"/>
          <w:sz w:val="30"/>
          <w:szCs w:val="30"/>
        </w:rPr>
        <w:t>2016</w:t>
      </w:r>
      <w:r w:rsidRPr="007A5ED7">
        <w:rPr>
          <w:rFonts w:ascii="仿宋_GB2312" w:eastAsia="仿宋_GB2312" w:hint="eastAsia"/>
          <w:sz w:val="30"/>
          <w:szCs w:val="30"/>
        </w:rPr>
        <w:t>年在镇江市中级人民法院以及南京市中级人民法院进行维权，并得到镇江市中级人民法院判决支持或与案外人达成和解，从而说明御缘酿酒厂此前合法拥有涉案专利权，诉讼是为了维权，主观不存在恶意。天下秀公司认为，御缘酿酒厂将维权行为变成常规行为，对自己的权利状况</w:t>
      </w:r>
      <w:r w:rsidRPr="007A5ED7">
        <w:rPr>
          <w:rFonts w:ascii="仿宋_GB2312" w:eastAsia="仿宋_GB2312" w:hint="eastAsia"/>
          <w:sz w:val="30"/>
          <w:szCs w:val="30"/>
        </w:rPr>
        <w:lastRenderedPageBreak/>
        <w:t>应具有更高的注意义务。</w:t>
      </w:r>
    </w:p>
    <w:p w:rsidR="00D906DC" w:rsidRPr="007A5ED7" w:rsidRDefault="00D906DC" w:rsidP="005F3E79">
      <w:pPr>
        <w:adjustRightInd w:val="0"/>
        <w:snapToGrid w:val="0"/>
        <w:spacing w:line="520" w:lineRule="exact"/>
        <w:ind w:firstLineChars="200" w:firstLine="602"/>
        <w:rPr>
          <w:rFonts w:ascii="仿宋_GB2312" w:eastAsia="仿宋_GB2312"/>
          <w:b/>
          <w:bCs/>
          <w:sz w:val="30"/>
          <w:szCs w:val="30"/>
        </w:rPr>
      </w:pPr>
      <w:r w:rsidRPr="007A5ED7">
        <w:rPr>
          <w:rFonts w:ascii="仿宋_GB2312" w:eastAsia="仿宋_GB2312" w:hint="eastAsia"/>
          <w:b/>
          <w:bCs/>
          <w:sz w:val="30"/>
          <w:szCs w:val="30"/>
        </w:rPr>
        <w:t>【法院认为】</w:t>
      </w:r>
    </w:p>
    <w:p w:rsidR="00D906DC" w:rsidRPr="007A5ED7" w:rsidRDefault="00D906DC" w:rsidP="005F3E79">
      <w:pPr>
        <w:adjustRightInd w:val="0"/>
        <w:snapToGrid w:val="0"/>
        <w:spacing w:line="520" w:lineRule="exact"/>
        <w:ind w:firstLineChars="200" w:firstLine="600"/>
        <w:rPr>
          <w:rFonts w:ascii="仿宋_GB2312" w:eastAsia="仿宋_GB2312"/>
          <w:sz w:val="30"/>
          <w:szCs w:val="30"/>
        </w:rPr>
      </w:pPr>
      <w:r w:rsidRPr="007A5ED7">
        <w:rPr>
          <w:rFonts w:ascii="仿宋_GB2312" w:eastAsia="仿宋_GB2312" w:hint="eastAsia"/>
          <w:sz w:val="30"/>
          <w:szCs w:val="30"/>
        </w:rPr>
        <w:t>南京中院一审认为：</w:t>
      </w:r>
    </w:p>
    <w:p w:rsidR="00D906DC" w:rsidRPr="007A5ED7" w:rsidRDefault="00D906DC" w:rsidP="005F3E79">
      <w:pPr>
        <w:adjustRightInd w:val="0"/>
        <w:snapToGrid w:val="0"/>
        <w:spacing w:line="520" w:lineRule="exact"/>
        <w:ind w:firstLineChars="200" w:firstLine="600"/>
        <w:rPr>
          <w:rFonts w:ascii="仿宋_GB2312" w:eastAsia="仿宋_GB2312"/>
          <w:sz w:val="30"/>
          <w:szCs w:val="30"/>
        </w:rPr>
      </w:pPr>
      <w:r w:rsidRPr="007A5ED7">
        <w:rPr>
          <w:rFonts w:ascii="仿宋_GB2312" w:eastAsia="仿宋_GB2312" w:hint="eastAsia"/>
          <w:sz w:val="30"/>
          <w:szCs w:val="30"/>
        </w:rPr>
        <w:t>所谓恶意诉讼，通常是指当事人以获取非法或不正当利益为目的而故意提起一个在事实上和法律上无根据之诉，并致使相对人遭受损失的行为。</w:t>
      </w:r>
    </w:p>
    <w:p w:rsidR="00D906DC" w:rsidRPr="007A5ED7" w:rsidRDefault="00D906DC" w:rsidP="005F3E79">
      <w:pPr>
        <w:adjustRightInd w:val="0"/>
        <w:snapToGrid w:val="0"/>
        <w:spacing w:line="520" w:lineRule="exact"/>
        <w:ind w:firstLineChars="200" w:firstLine="600"/>
        <w:rPr>
          <w:rFonts w:ascii="仿宋_GB2312" w:eastAsia="仿宋_GB2312"/>
          <w:sz w:val="30"/>
          <w:szCs w:val="30"/>
        </w:rPr>
      </w:pPr>
      <w:r w:rsidRPr="007A5ED7">
        <w:rPr>
          <w:rFonts w:ascii="仿宋_GB2312" w:eastAsia="仿宋_GB2312" w:hint="eastAsia"/>
          <w:sz w:val="30"/>
          <w:szCs w:val="30"/>
        </w:rPr>
        <w:t>首先，御缘酿酒厂实施了向天下秀公司提起三起知识产权诉讼的行为。其次，御缘酿酒厂具有过错。御缘酿酒厂作为（</w:t>
      </w:r>
      <w:r w:rsidRPr="007A5ED7">
        <w:rPr>
          <w:rFonts w:ascii="仿宋_GB2312" w:eastAsia="仿宋_GB2312"/>
          <w:sz w:val="30"/>
          <w:szCs w:val="30"/>
        </w:rPr>
        <w:t>2013</w:t>
      </w:r>
      <w:r w:rsidRPr="007A5ED7">
        <w:rPr>
          <w:rFonts w:ascii="仿宋_GB2312" w:eastAsia="仿宋_GB2312" w:hint="eastAsia"/>
          <w:sz w:val="30"/>
          <w:szCs w:val="30"/>
        </w:rPr>
        <w:t>）宿中知民初字第</w:t>
      </w:r>
      <w:r w:rsidRPr="007A5ED7">
        <w:rPr>
          <w:rFonts w:ascii="仿宋_GB2312" w:eastAsia="仿宋_GB2312"/>
          <w:sz w:val="30"/>
          <w:szCs w:val="30"/>
        </w:rPr>
        <w:t>0047</w:t>
      </w:r>
      <w:r w:rsidRPr="007A5ED7">
        <w:rPr>
          <w:rFonts w:ascii="仿宋_GB2312" w:eastAsia="仿宋_GB2312" w:hint="eastAsia"/>
          <w:sz w:val="30"/>
          <w:szCs w:val="30"/>
        </w:rPr>
        <w:t>号判决的当事人，至迟在该判决生效时应明知本案所涉四外观设计专利中的“洋河”字样侵害了案外人的“洋河”商标权。且其在明知四涉案外观设计专利不符合专利法第二十三条第三款规定的情况下，仍向天下秀公司提出知识产权诉讼，要求天下秀公司停止侵权和赔偿损失，明</w:t>
      </w:r>
      <w:r>
        <w:rPr>
          <w:rFonts w:ascii="仿宋_GB2312" w:eastAsia="仿宋_GB2312" w:hint="eastAsia"/>
          <w:sz w:val="30"/>
          <w:szCs w:val="30"/>
        </w:rPr>
        <w:t>显有违民诉法规定的诚信原则，系对诉讼权利的滥用，具有明显的恶意</w:t>
      </w:r>
      <w:r w:rsidRPr="007A5ED7">
        <w:rPr>
          <w:rFonts w:ascii="仿宋_GB2312" w:eastAsia="仿宋_GB2312" w:hint="eastAsia"/>
          <w:sz w:val="30"/>
          <w:szCs w:val="30"/>
        </w:rPr>
        <w:t>。再者，天下秀公司支出了律师费、专利无效宣告请求费、差旅住宿费等费用。以上均系直接损失，与御缘酿酒厂提起知识产权诉讼的行为存在因果关系。</w:t>
      </w:r>
    </w:p>
    <w:p w:rsidR="00D906DC" w:rsidRPr="007A5ED7" w:rsidRDefault="00D906DC" w:rsidP="005F3E79">
      <w:pPr>
        <w:adjustRightInd w:val="0"/>
        <w:snapToGrid w:val="0"/>
        <w:spacing w:line="520" w:lineRule="exact"/>
        <w:ind w:firstLineChars="200" w:firstLine="600"/>
        <w:rPr>
          <w:rFonts w:ascii="仿宋_GB2312" w:eastAsia="仿宋_GB2312"/>
          <w:sz w:val="30"/>
          <w:szCs w:val="30"/>
        </w:rPr>
      </w:pPr>
      <w:r w:rsidRPr="007A5ED7">
        <w:rPr>
          <w:rFonts w:ascii="仿宋_GB2312" w:eastAsia="仿宋_GB2312" w:hint="eastAsia"/>
          <w:sz w:val="30"/>
          <w:szCs w:val="30"/>
        </w:rPr>
        <w:t>综上，一审法院判决御缘酿酒厂赔偿天下秀公司</w:t>
      </w:r>
      <w:r w:rsidRPr="007A5ED7">
        <w:rPr>
          <w:rFonts w:ascii="仿宋_GB2312" w:eastAsia="仿宋_GB2312"/>
          <w:sz w:val="30"/>
          <w:szCs w:val="30"/>
        </w:rPr>
        <w:t>140225</w:t>
      </w:r>
      <w:r w:rsidRPr="007A5ED7">
        <w:rPr>
          <w:rFonts w:ascii="仿宋_GB2312" w:eastAsia="仿宋_GB2312" w:hint="eastAsia"/>
          <w:sz w:val="30"/>
          <w:szCs w:val="30"/>
        </w:rPr>
        <w:t>元。一审判决后，御缘酿酒厂向江苏省高级人民法院提</w:t>
      </w:r>
      <w:r>
        <w:rPr>
          <w:rFonts w:ascii="仿宋_GB2312" w:eastAsia="仿宋_GB2312" w:hint="eastAsia"/>
          <w:sz w:val="30"/>
          <w:szCs w:val="30"/>
        </w:rPr>
        <w:t>起</w:t>
      </w:r>
      <w:r w:rsidRPr="007A5ED7">
        <w:rPr>
          <w:rFonts w:ascii="仿宋_GB2312" w:eastAsia="仿宋_GB2312" w:hint="eastAsia"/>
          <w:sz w:val="30"/>
          <w:szCs w:val="30"/>
        </w:rPr>
        <w:t>上诉。</w:t>
      </w:r>
    </w:p>
    <w:p w:rsidR="00D906DC" w:rsidRPr="007A5ED7" w:rsidRDefault="00D906DC" w:rsidP="005F3E79">
      <w:pPr>
        <w:adjustRightInd w:val="0"/>
        <w:snapToGrid w:val="0"/>
        <w:spacing w:line="520" w:lineRule="exact"/>
        <w:ind w:firstLineChars="200" w:firstLine="600"/>
        <w:rPr>
          <w:rFonts w:ascii="仿宋_GB2312" w:eastAsia="仿宋_GB2312"/>
          <w:sz w:val="30"/>
          <w:szCs w:val="30"/>
        </w:rPr>
      </w:pPr>
      <w:r w:rsidRPr="007A5ED7">
        <w:rPr>
          <w:rFonts w:ascii="仿宋_GB2312" w:eastAsia="仿宋_GB2312" w:hint="eastAsia"/>
          <w:sz w:val="30"/>
          <w:szCs w:val="30"/>
        </w:rPr>
        <w:t>江苏高院二审认为：</w:t>
      </w:r>
    </w:p>
    <w:p w:rsidR="00D906DC" w:rsidRPr="007A5ED7" w:rsidRDefault="00D906DC" w:rsidP="005F3E79">
      <w:pPr>
        <w:adjustRightInd w:val="0"/>
        <w:snapToGrid w:val="0"/>
        <w:spacing w:line="520" w:lineRule="exact"/>
        <w:ind w:firstLineChars="200" w:firstLine="600"/>
        <w:rPr>
          <w:rFonts w:ascii="仿宋_GB2312" w:eastAsia="仿宋_GB2312"/>
          <w:sz w:val="30"/>
          <w:szCs w:val="30"/>
        </w:rPr>
      </w:pPr>
      <w:r w:rsidRPr="007A5ED7">
        <w:rPr>
          <w:rFonts w:ascii="仿宋_GB2312" w:eastAsia="仿宋_GB2312" w:hint="eastAsia"/>
          <w:sz w:val="30"/>
          <w:szCs w:val="30"/>
        </w:rPr>
        <w:t>恶意提起知识产权诉讼是指行为人明知自己提起知识产权诉讼无事实或者法律依据，仍以损害他人合法权益或者获取非法利益为目的，故意针对他人提起知识产权诉讼，造成他人损害的行为。判断是否构成恶意提起知识产权诉讼应重点考量如下要件：</w:t>
      </w:r>
      <w:r w:rsidRPr="007A5ED7">
        <w:rPr>
          <w:rFonts w:ascii="仿宋_GB2312" w:eastAsia="仿宋_GB2312"/>
          <w:sz w:val="30"/>
          <w:szCs w:val="30"/>
        </w:rPr>
        <w:t>1.</w:t>
      </w:r>
      <w:r w:rsidRPr="007A5ED7">
        <w:rPr>
          <w:rFonts w:ascii="仿宋_GB2312" w:eastAsia="仿宋_GB2312" w:hint="eastAsia"/>
          <w:sz w:val="30"/>
          <w:szCs w:val="30"/>
        </w:rPr>
        <w:t>行为人提起知识产权诉讼无事实或法律依据。常常表现为行为人没有知识产权或者行为</w:t>
      </w:r>
      <w:r w:rsidRPr="007A5ED7">
        <w:rPr>
          <w:rFonts w:ascii="仿宋_GB2312" w:eastAsia="仿宋_GB2312" w:hint="eastAsia"/>
          <w:sz w:val="30"/>
          <w:szCs w:val="30"/>
        </w:rPr>
        <w:lastRenderedPageBreak/>
        <w:t>人虽然享有形式上“合法”的知识产权，但因该知识产权系恶意取得等多种原因而不具有实质上的正当性。在恶意取得的情形下，一般而言是行为人在主观上明知或者应当知道其形式上“合法”的知识产权系建立在侵害他人合法权利的基础之上。</w:t>
      </w:r>
      <w:r w:rsidRPr="007A5ED7">
        <w:rPr>
          <w:rFonts w:ascii="仿宋_GB2312" w:eastAsia="仿宋_GB2312"/>
          <w:sz w:val="30"/>
          <w:szCs w:val="30"/>
        </w:rPr>
        <w:t>2.</w:t>
      </w:r>
      <w:r w:rsidRPr="007A5ED7">
        <w:rPr>
          <w:rFonts w:ascii="仿宋_GB2312" w:eastAsia="仿宋_GB2312" w:hint="eastAsia"/>
          <w:sz w:val="30"/>
          <w:szCs w:val="30"/>
        </w:rPr>
        <w:t>行为人提起诉讼主观上具有恶意。该主观恶意主要表现为：行为人提起知识产权诉讼时，明知其提起知识产权诉讼无事实或法律依据，且行为人提起知识产权诉讼是以损害他人合法权益或者意图使自己获取非法利益作为目的。</w:t>
      </w:r>
      <w:r w:rsidRPr="007A5ED7">
        <w:rPr>
          <w:rFonts w:ascii="仿宋_GB2312" w:eastAsia="仿宋_GB2312"/>
          <w:sz w:val="30"/>
          <w:szCs w:val="30"/>
        </w:rPr>
        <w:t>3.</w:t>
      </w:r>
      <w:r w:rsidRPr="007A5ED7">
        <w:rPr>
          <w:rFonts w:ascii="仿宋_GB2312" w:eastAsia="仿宋_GB2312" w:hint="eastAsia"/>
          <w:sz w:val="30"/>
          <w:szCs w:val="30"/>
        </w:rPr>
        <w:t>行为人恶意提起知识产权诉讼给他人造成了损失，且损失与行为人恶意提起知识产权诉讼具有因果关系。</w:t>
      </w:r>
    </w:p>
    <w:p w:rsidR="00D906DC" w:rsidRPr="007A5ED7" w:rsidRDefault="00D906DC" w:rsidP="005F3E79">
      <w:pPr>
        <w:adjustRightInd w:val="0"/>
        <w:snapToGrid w:val="0"/>
        <w:spacing w:line="520" w:lineRule="exact"/>
        <w:ind w:firstLineChars="200" w:firstLine="600"/>
        <w:rPr>
          <w:rFonts w:ascii="仿宋_GB2312" w:eastAsia="仿宋_GB2312"/>
          <w:sz w:val="30"/>
          <w:szCs w:val="30"/>
        </w:rPr>
      </w:pPr>
      <w:r w:rsidRPr="007A5ED7">
        <w:rPr>
          <w:rFonts w:ascii="仿宋_GB2312" w:eastAsia="仿宋_GB2312" w:hint="eastAsia"/>
          <w:sz w:val="30"/>
          <w:szCs w:val="30"/>
        </w:rPr>
        <w:t>御缘酿酒厂提起涉案三起诉讼的行为符合上述构成要件，构成恶意提起知识产权诉讼。</w:t>
      </w:r>
    </w:p>
    <w:p w:rsidR="00D906DC" w:rsidRPr="007A5ED7" w:rsidRDefault="00D906DC" w:rsidP="005F3E79">
      <w:pPr>
        <w:adjustRightInd w:val="0"/>
        <w:snapToGrid w:val="0"/>
        <w:spacing w:line="520" w:lineRule="exact"/>
        <w:ind w:firstLineChars="200" w:firstLine="600"/>
        <w:rPr>
          <w:rFonts w:ascii="仿宋_GB2312" w:eastAsia="仿宋_GB2312"/>
          <w:sz w:val="30"/>
          <w:szCs w:val="30"/>
        </w:rPr>
      </w:pPr>
      <w:r w:rsidRPr="007A5ED7">
        <w:rPr>
          <w:rFonts w:ascii="仿宋_GB2312" w:eastAsia="仿宋_GB2312" w:hint="eastAsia"/>
          <w:sz w:val="30"/>
          <w:szCs w:val="30"/>
        </w:rPr>
        <w:t>首先，御缘酿酒厂提起涉案三起诉讼的权利基础不具有正当性。御缘酿酒厂在涉案外观设计专利中标注“洋河”字样，已经侵犯了洋河酒厂的在先注册商标专用权。虽然由于我国外观设计专利不进行实质审查等原因使得御缘酿酒厂获得了形式上“合法”的授权，在获得专利授权后，又由于无人向国家知识产权局专利复审委员会提出无效宣告请求，致使涉案四个外观设计专利在近三年的时间内保持着形式上的“合法”状态，但上述事实和状态并不能改变涉案四个外观设计专利权利基础的不正当性。御缘酿酒厂将洋河酒厂合法持有的在先注册商标以部分设计元素的形式嵌入外观设计专利，该行为不但显著违反了专利法明确规定、破坏专利制度秩序，同时也侵害了商标权人的合法权利、扰乱了正常的商标注册、管理秩序，损害了公平竞争、健康有序的市场环境。</w:t>
      </w:r>
    </w:p>
    <w:p w:rsidR="00D906DC" w:rsidRPr="007A5ED7" w:rsidRDefault="00D906DC" w:rsidP="005F3E79">
      <w:pPr>
        <w:adjustRightInd w:val="0"/>
        <w:snapToGrid w:val="0"/>
        <w:spacing w:line="520" w:lineRule="exact"/>
        <w:ind w:firstLineChars="200" w:firstLine="600"/>
        <w:rPr>
          <w:rFonts w:ascii="仿宋_GB2312" w:eastAsia="仿宋_GB2312"/>
          <w:sz w:val="30"/>
          <w:szCs w:val="30"/>
        </w:rPr>
      </w:pPr>
      <w:r w:rsidRPr="007A5ED7">
        <w:rPr>
          <w:rFonts w:ascii="仿宋_GB2312" w:eastAsia="仿宋_GB2312" w:hint="eastAsia"/>
          <w:sz w:val="30"/>
          <w:szCs w:val="30"/>
        </w:rPr>
        <w:t>其次，御缘酿酒厂对于提起涉案三起诉讼据以主张的权利基础不</w:t>
      </w:r>
      <w:r w:rsidRPr="007A5ED7">
        <w:rPr>
          <w:rFonts w:ascii="仿宋_GB2312" w:eastAsia="仿宋_GB2312" w:hint="eastAsia"/>
          <w:sz w:val="30"/>
          <w:szCs w:val="30"/>
        </w:rPr>
        <w:lastRenderedPageBreak/>
        <w:t>具有正当性，处于应有明确认知的主观状态。</w:t>
      </w:r>
      <w:r>
        <w:rPr>
          <w:rFonts w:ascii="仿宋_GB2312" w:eastAsia="仿宋_GB2312"/>
          <w:sz w:val="30"/>
          <w:szCs w:val="30"/>
        </w:rPr>
        <w:t>1.</w:t>
      </w:r>
      <w:r w:rsidRPr="007A5ED7">
        <w:rPr>
          <w:rFonts w:ascii="仿宋_GB2312" w:eastAsia="仿宋_GB2312" w:hint="eastAsia"/>
          <w:sz w:val="30"/>
          <w:szCs w:val="30"/>
        </w:rPr>
        <w:t>在（</w:t>
      </w:r>
      <w:r w:rsidRPr="007A5ED7">
        <w:rPr>
          <w:rFonts w:ascii="仿宋_GB2312" w:eastAsia="仿宋_GB2312"/>
          <w:sz w:val="30"/>
          <w:szCs w:val="30"/>
        </w:rPr>
        <w:t>2013</w:t>
      </w:r>
      <w:r w:rsidRPr="007A5ED7">
        <w:rPr>
          <w:rFonts w:ascii="仿宋_GB2312" w:eastAsia="仿宋_GB2312" w:hint="eastAsia"/>
          <w:sz w:val="30"/>
          <w:szCs w:val="30"/>
        </w:rPr>
        <w:t>）宿中知民初字第</w:t>
      </w:r>
      <w:r w:rsidRPr="007A5ED7">
        <w:rPr>
          <w:rFonts w:ascii="仿宋_GB2312" w:eastAsia="仿宋_GB2312"/>
          <w:sz w:val="30"/>
          <w:szCs w:val="30"/>
        </w:rPr>
        <w:t>0047</w:t>
      </w:r>
      <w:r w:rsidRPr="007A5ED7">
        <w:rPr>
          <w:rFonts w:ascii="仿宋_GB2312" w:eastAsia="仿宋_GB2312" w:hint="eastAsia"/>
          <w:sz w:val="30"/>
          <w:szCs w:val="30"/>
        </w:rPr>
        <w:t>号判决书中，宿迁市中级人民法院已经认定御缘酿酒厂在其生产的白酒外包装上标有“中国洋河”“江苏洋河”字样，侵犯了洋河酒厂的商标专用权。</w:t>
      </w:r>
      <w:r>
        <w:rPr>
          <w:rFonts w:ascii="仿宋_GB2312" w:eastAsia="仿宋_GB2312"/>
          <w:sz w:val="30"/>
          <w:szCs w:val="30"/>
        </w:rPr>
        <w:t>2.</w:t>
      </w:r>
      <w:r w:rsidRPr="007A5ED7">
        <w:rPr>
          <w:rFonts w:ascii="仿宋_GB2312" w:eastAsia="仿宋_GB2312" w:hint="eastAsia"/>
          <w:sz w:val="30"/>
          <w:szCs w:val="30"/>
        </w:rPr>
        <w:t>御缘酿酒厂与洋河酒厂均地处江苏省宿迁市，且经营项目均包含白酒，对洋河酒厂享有“洋河”注册商标专用权以及“洋河”商标的市场影响力和知名度理当知晓。</w:t>
      </w:r>
      <w:r>
        <w:rPr>
          <w:rFonts w:ascii="仿宋_GB2312" w:eastAsia="仿宋_GB2312"/>
          <w:sz w:val="30"/>
          <w:szCs w:val="30"/>
        </w:rPr>
        <w:t>3.</w:t>
      </w:r>
      <w:r w:rsidRPr="007A5ED7">
        <w:rPr>
          <w:rFonts w:ascii="仿宋_GB2312" w:eastAsia="仿宋_GB2312"/>
          <w:sz w:val="30"/>
          <w:szCs w:val="30"/>
        </w:rPr>
        <w:t>2014</w:t>
      </w:r>
      <w:r w:rsidRPr="007A5ED7">
        <w:rPr>
          <w:rFonts w:ascii="仿宋_GB2312" w:eastAsia="仿宋_GB2312" w:hint="eastAsia"/>
          <w:sz w:val="30"/>
          <w:szCs w:val="30"/>
        </w:rPr>
        <w:t>年</w:t>
      </w:r>
      <w:r w:rsidRPr="007A5ED7">
        <w:rPr>
          <w:rFonts w:ascii="仿宋_GB2312" w:eastAsia="仿宋_GB2312"/>
          <w:sz w:val="30"/>
          <w:szCs w:val="30"/>
        </w:rPr>
        <w:t>1</w:t>
      </w:r>
      <w:r w:rsidRPr="007A5ED7">
        <w:rPr>
          <w:rFonts w:ascii="仿宋_GB2312" w:eastAsia="仿宋_GB2312" w:hint="eastAsia"/>
          <w:sz w:val="30"/>
          <w:szCs w:val="30"/>
        </w:rPr>
        <w:t>月</w:t>
      </w:r>
      <w:r w:rsidRPr="007A5ED7">
        <w:rPr>
          <w:rFonts w:ascii="仿宋_GB2312" w:eastAsia="仿宋_GB2312"/>
          <w:sz w:val="30"/>
          <w:szCs w:val="30"/>
        </w:rPr>
        <w:t>7</w:t>
      </w:r>
      <w:r w:rsidRPr="007A5ED7">
        <w:rPr>
          <w:rFonts w:ascii="仿宋_GB2312" w:eastAsia="仿宋_GB2312" w:hint="eastAsia"/>
          <w:sz w:val="30"/>
          <w:szCs w:val="30"/>
        </w:rPr>
        <w:t>日，御缘酿酒厂法定代表人李银久申请的名称为“酒盒（中国梦红色）”，专利号为</w:t>
      </w:r>
      <w:r w:rsidRPr="007A5ED7">
        <w:rPr>
          <w:rFonts w:ascii="仿宋_GB2312" w:eastAsia="仿宋_GB2312"/>
          <w:sz w:val="30"/>
          <w:szCs w:val="30"/>
        </w:rPr>
        <w:t>201430003600.4</w:t>
      </w:r>
      <w:r w:rsidRPr="007A5ED7">
        <w:rPr>
          <w:rFonts w:ascii="仿宋_GB2312" w:eastAsia="仿宋_GB2312" w:hint="eastAsia"/>
          <w:sz w:val="30"/>
          <w:szCs w:val="30"/>
        </w:rPr>
        <w:t>的外观设计专利中，未使用“江苏·洋河”字样而使用“江苏洋河镇”字样。从涉案四个专利中“洋河”字样到上述</w:t>
      </w:r>
      <w:r w:rsidRPr="007A5ED7">
        <w:rPr>
          <w:rFonts w:ascii="仿宋_GB2312" w:eastAsia="仿宋_GB2312"/>
          <w:sz w:val="30"/>
          <w:szCs w:val="30"/>
        </w:rPr>
        <w:t xml:space="preserve">201430003600.4 </w:t>
      </w:r>
      <w:r w:rsidRPr="007A5ED7">
        <w:rPr>
          <w:rFonts w:ascii="仿宋_GB2312" w:eastAsia="仿宋_GB2312" w:hint="eastAsia"/>
          <w:sz w:val="30"/>
          <w:szCs w:val="30"/>
        </w:rPr>
        <w:t>号外观设计专利中“洋河镇”字样的变化，进一步表明御缘酿酒厂对于产品包装上标示“洋河”和“洋河镇”字样的不同指向和不同含义有着明确的认知。</w:t>
      </w:r>
    </w:p>
    <w:p w:rsidR="00D906DC" w:rsidRPr="007A5ED7" w:rsidRDefault="00D906DC" w:rsidP="005F3E79">
      <w:pPr>
        <w:adjustRightInd w:val="0"/>
        <w:snapToGrid w:val="0"/>
        <w:spacing w:line="520" w:lineRule="exact"/>
        <w:ind w:firstLineChars="200" w:firstLine="600"/>
        <w:rPr>
          <w:rFonts w:ascii="仿宋_GB2312" w:eastAsia="仿宋_GB2312"/>
          <w:sz w:val="30"/>
          <w:szCs w:val="30"/>
        </w:rPr>
      </w:pPr>
      <w:r w:rsidRPr="007A5ED7">
        <w:rPr>
          <w:rFonts w:ascii="仿宋_GB2312" w:eastAsia="仿宋_GB2312" w:hint="eastAsia"/>
          <w:sz w:val="30"/>
          <w:szCs w:val="30"/>
        </w:rPr>
        <w:t>再次，御缘酿酒厂在明知其权利基础不具有正当性的前提下，仍然提起涉案三起诉讼并且意图获取不当利益。基于御缘酿酒厂对其据以起诉的权利基础并不具备正当性持明确认知的主观状态，且以不正当的权利基础受到侵害为由提出赔偿诉请，故其诉讼行为仍具有恶意获取不当利益的目的性。</w:t>
      </w:r>
    </w:p>
    <w:p w:rsidR="00D906DC" w:rsidRPr="007A5ED7" w:rsidRDefault="00D906DC" w:rsidP="005F3E79">
      <w:pPr>
        <w:adjustRightInd w:val="0"/>
        <w:snapToGrid w:val="0"/>
        <w:spacing w:line="520" w:lineRule="exact"/>
        <w:ind w:firstLineChars="200" w:firstLine="600"/>
        <w:rPr>
          <w:rFonts w:ascii="仿宋_GB2312" w:eastAsia="仿宋_GB2312"/>
          <w:sz w:val="30"/>
          <w:szCs w:val="30"/>
        </w:rPr>
      </w:pPr>
      <w:r w:rsidRPr="007A5ED7">
        <w:rPr>
          <w:rFonts w:ascii="仿宋_GB2312" w:eastAsia="仿宋_GB2312" w:hint="eastAsia"/>
          <w:sz w:val="30"/>
          <w:szCs w:val="30"/>
        </w:rPr>
        <w:t>最后，御缘酿酒厂恶意提起知识产权诉讼的行为给天下秀公司造成了损失。御缘酿酒厂提起涉案三起诉讼后，天下秀公司被动参与诉讼，聘请律师并提起了涉案外观设计专利的无效申请，支出了相应的律师费、无效宣告请求费及差旅费共计</w:t>
      </w:r>
      <w:r w:rsidRPr="007A5ED7">
        <w:rPr>
          <w:rFonts w:ascii="仿宋_GB2312" w:eastAsia="仿宋_GB2312"/>
          <w:sz w:val="30"/>
          <w:szCs w:val="30"/>
        </w:rPr>
        <w:t>140225</w:t>
      </w:r>
      <w:r w:rsidRPr="007A5ED7">
        <w:rPr>
          <w:rFonts w:ascii="仿宋_GB2312" w:eastAsia="仿宋_GB2312" w:hint="eastAsia"/>
          <w:sz w:val="30"/>
          <w:szCs w:val="30"/>
        </w:rPr>
        <w:t>元，故其该部分费用的支出与御缘酿酒厂提起的涉案三起诉讼存在因果关系。</w:t>
      </w:r>
    </w:p>
    <w:p w:rsidR="00D906DC" w:rsidRPr="007A5ED7" w:rsidRDefault="00D906DC" w:rsidP="005F3E79">
      <w:pPr>
        <w:adjustRightInd w:val="0"/>
        <w:snapToGrid w:val="0"/>
        <w:spacing w:line="520" w:lineRule="exact"/>
        <w:ind w:firstLineChars="200" w:firstLine="600"/>
        <w:rPr>
          <w:rFonts w:ascii="仿宋_GB2312" w:eastAsia="仿宋_GB2312"/>
          <w:sz w:val="30"/>
          <w:szCs w:val="30"/>
        </w:rPr>
      </w:pPr>
      <w:r w:rsidRPr="007A5ED7">
        <w:rPr>
          <w:rFonts w:ascii="仿宋_GB2312" w:eastAsia="仿宋_GB2312" w:hint="eastAsia"/>
          <w:sz w:val="30"/>
          <w:szCs w:val="30"/>
        </w:rPr>
        <w:t>综上，二审法院对一审判决予以维持。</w:t>
      </w:r>
    </w:p>
    <w:p w:rsidR="00D906DC" w:rsidRPr="007A5ED7" w:rsidRDefault="00D906DC" w:rsidP="005F3E79">
      <w:pPr>
        <w:adjustRightInd w:val="0"/>
        <w:snapToGrid w:val="0"/>
        <w:spacing w:line="520" w:lineRule="exact"/>
        <w:ind w:firstLineChars="200" w:firstLine="602"/>
        <w:rPr>
          <w:rFonts w:ascii="仿宋_GB2312" w:eastAsia="仿宋_GB2312"/>
          <w:b/>
          <w:bCs/>
          <w:sz w:val="30"/>
          <w:szCs w:val="30"/>
        </w:rPr>
      </w:pPr>
      <w:r w:rsidRPr="007A5ED7">
        <w:rPr>
          <w:rFonts w:ascii="仿宋_GB2312" w:eastAsia="仿宋_GB2312" w:hint="eastAsia"/>
          <w:b/>
          <w:bCs/>
          <w:sz w:val="30"/>
          <w:szCs w:val="30"/>
        </w:rPr>
        <w:t>【典型意义】</w:t>
      </w:r>
    </w:p>
    <w:p w:rsidR="00D906DC" w:rsidRPr="007A5ED7" w:rsidRDefault="00D906DC" w:rsidP="005F3E79">
      <w:pPr>
        <w:adjustRightInd w:val="0"/>
        <w:snapToGrid w:val="0"/>
        <w:spacing w:line="520" w:lineRule="exact"/>
        <w:ind w:firstLineChars="200" w:firstLine="600"/>
        <w:rPr>
          <w:rFonts w:ascii="仿宋_GB2312" w:eastAsia="仿宋_GB2312"/>
          <w:sz w:val="30"/>
          <w:szCs w:val="30"/>
        </w:rPr>
      </w:pPr>
      <w:r w:rsidRPr="007A5ED7">
        <w:rPr>
          <w:rFonts w:ascii="仿宋_GB2312" w:eastAsia="仿宋_GB2312" w:hint="eastAsia"/>
          <w:sz w:val="30"/>
          <w:szCs w:val="30"/>
        </w:rPr>
        <w:lastRenderedPageBreak/>
        <w:t>本案是一起典型的因恶意提起知识产权诉讼给他人造成损失引发的反赔案件。本案被告此前明知江苏“洋河”白酒商标具有极高知名度，且因经营假冒“洋河”商标的白酒被行政处罚和法院判决认定侵犯“洋河”商标专用权，仍利用外观设计专利不实质审查的制度设计，以“洋河”商标作为外观设计元素申请获得外观设计专利。此后又以该缺乏正当合法性基础的外观设计专利起诉本案原告专利侵权，以牟取不正当利益。因此，这是一种典型的违反诚实信用原则，恶意提起知识产权诉讼的行为。</w:t>
      </w:r>
    </w:p>
    <w:p w:rsidR="00D906DC" w:rsidRPr="007A5ED7" w:rsidRDefault="00D906DC" w:rsidP="005F3E79">
      <w:pPr>
        <w:adjustRightInd w:val="0"/>
        <w:snapToGrid w:val="0"/>
        <w:spacing w:line="520" w:lineRule="exact"/>
        <w:ind w:firstLineChars="200" w:firstLine="600"/>
        <w:rPr>
          <w:rFonts w:ascii="仿宋_GB2312" w:eastAsia="仿宋_GB2312"/>
          <w:sz w:val="30"/>
          <w:szCs w:val="30"/>
        </w:rPr>
      </w:pPr>
      <w:r w:rsidRPr="007A5ED7">
        <w:rPr>
          <w:rFonts w:ascii="仿宋_GB2312" w:eastAsia="仿宋_GB2312" w:hint="eastAsia"/>
          <w:sz w:val="30"/>
          <w:szCs w:val="30"/>
        </w:rPr>
        <w:t>本案</w:t>
      </w:r>
      <w:r>
        <w:rPr>
          <w:rFonts w:ascii="仿宋_GB2312" w:eastAsia="仿宋_GB2312" w:hint="eastAsia"/>
          <w:sz w:val="30"/>
          <w:szCs w:val="30"/>
        </w:rPr>
        <w:t>典型意义</w:t>
      </w:r>
      <w:r w:rsidRPr="007A5ED7">
        <w:rPr>
          <w:rFonts w:ascii="仿宋_GB2312" w:eastAsia="仿宋_GB2312" w:hint="eastAsia"/>
          <w:sz w:val="30"/>
          <w:szCs w:val="30"/>
        </w:rPr>
        <w:t>在于通过判决明确了恶意提起知识产权诉讼行为的认定标准。即：</w:t>
      </w:r>
      <w:r w:rsidRPr="007A5ED7">
        <w:rPr>
          <w:rFonts w:ascii="仿宋_GB2312" w:eastAsia="仿宋_GB2312"/>
          <w:sz w:val="30"/>
          <w:szCs w:val="30"/>
        </w:rPr>
        <w:t>1.</w:t>
      </w:r>
      <w:r w:rsidRPr="007A5ED7">
        <w:rPr>
          <w:rFonts w:ascii="仿宋_GB2312" w:eastAsia="仿宋_GB2312" w:hint="eastAsia"/>
          <w:sz w:val="30"/>
          <w:szCs w:val="30"/>
        </w:rPr>
        <w:t>行为人提起知识产权诉讼无事实或法律依据。常常表现为行为人没有知识产权或者虽然享有形式上“合法”的知识产权，但因该知识产权系恶意取得等多种原因而不具有实质上的正当性。</w:t>
      </w:r>
      <w:r w:rsidRPr="007A5ED7">
        <w:rPr>
          <w:rFonts w:ascii="仿宋_GB2312" w:eastAsia="仿宋_GB2312"/>
          <w:sz w:val="30"/>
          <w:szCs w:val="30"/>
        </w:rPr>
        <w:t>2.</w:t>
      </w:r>
      <w:r w:rsidRPr="007A5ED7">
        <w:rPr>
          <w:rFonts w:ascii="仿宋_GB2312" w:eastAsia="仿宋_GB2312" w:hint="eastAsia"/>
          <w:sz w:val="30"/>
          <w:szCs w:val="30"/>
        </w:rPr>
        <w:t>行为人提起诉讼主观上具有恶意。主要表现为：行为人明知其权利取得不具有正当性，明知其提起知识产权诉讼无事实或法律依据，仍提起诉讼。</w:t>
      </w:r>
      <w:r w:rsidRPr="007A5ED7">
        <w:rPr>
          <w:rFonts w:ascii="仿宋_GB2312" w:eastAsia="仿宋_GB2312"/>
          <w:sz w:val="30"/>
          <w:szCs w:val="30"/>
        </w:rPr>
        <w:t>3.</w:t>
      </w:r>
      <w:r w:rsidRPr="007A5ED7">
        <w:rPr>
          <w:rFonts w:ascii="仿宋_GB2312" w:eastAsia="仿宋_GB2312" w:hint="eastAsia"/>
          <w:sz w:val="30"/>
          <w:szCs w:val="30"/>
        </w:rPr>
        <w:t>行为人提起知识产权诉讼是以损害他人合法权益或者意图使自己获取非法利益为目的。包括获得赔偿金或恶意打击竞争对手，获取竞争优势和市场利益。</w:t>
      </w:r>
      <w:r w:rsidRPr="007A5ED7">
        <w:rPr>
          <w:rFonts w:ascii="仿宋_GB2312" w:eastAsia="仿宋_GB2312"/>
          <w:sz w:val="30"/>
          <w:szCs w:val="30"/>
        </w:rPr>
        <w:t>4.</w:t>
      </w:r>
      <w:r w:rsidRPr="007A5ED7">
        <w:rPr>
          <w:rFonts w:ascii="仿宋_GB2312" w:eastAsia="仿宋_GB2312" w:hint="eastAsia"/>
          <w:sz w:val="30"/>
          <w:szCs w:val="30"/>
        </w:rPr>
        <w:t>行为人恶意提起知识产权诉讼给他人造成损失，且损失与恶意起诉间有因果关系。</w:t>
      </w:r>
    </w:p>
    <w:p w:rsidR="00D906DC" w:rsidRPr="007A5ED7" w:rsidRDefault="00D906DC" w:rsidP="005F3E79">
      <w:pPr>
        <w:adjustRightInd w:val="0"/>
        <w:snapToGrid w:val="0"/>
        <w:spacing w:line="520" w:lineRule="exact"/>
        <w:ind w:firstLineChars="200" w:firstLine="600"/>
        <w:rPr>
          <w:rFonts w:ascii="仿宋_GB2312" w:eastAsia="仿宋_GB2312"/>
          <w:sz w:val="30"/>
          <w:szCs w:val="30"/>
        </w:rPr>
      </w:pPr>
      <w:r w:rsidRPr="007A5ED7">
        <w:rPr>
          <w:rFonts w:ascii="仿宋_GB2312" w:eastAsia="仿宋_GB2312" w:hint="eastAsia"/>
          <w:sz w:val="30"/>
          <w:szCs w:val="30"/>
        </w:rPr>
        <w:t>本案判决严厉打击了此类违反商业道德和诚信原则恶意取得形式上合法的知识产权，</w:t>
      </w:r>
      <w:r>
        <w:rPr>
          <w:rFonts w:ascii="仿宋_GB2312" w:eastAsia="仿宋_GB2312" w:hint="eastAsia"/>
          <w:sz w:val="30"/>
          <w:szCs w:val="30"/>
        </w:rPr>
        <w:t>然后</w:t>
      </w:r>
      <w:r w:rsidRPr="007A5ED7">
        <w:rPr>
          <w:rFonts w:ascii="仿宋_GB2312" w:eastAsia="仿宋_GB2312" w:hint="eastAsia"/>
          <w:sz w:val="30"/>
          <w:szCs w:val="30"/>
        </w:rPr>
        <w:t>恶意起诉，恶意牟利</w:t>
      </w:r>
      <w:r>
        <w:rPr>
          <w:rFonts w:ascii="仿宋_GB2312" w:eastAsia="仿宋_GB2312" w:hint="eastAsia"/>
          <w:sz w:val="30"/>
          <w:szCs w:val="30"/>
        </w:rPr>
        <w:t>的</w:t>
      </w:r>
      <w:r w:rsidRPr="007A5ED7">
        <w:rPr>
          <w:rFonts w:ascii="仿宋_GB2312" w:eastAsia="仿宋_GB2312" w:hint="eastAsia"/>
          <w:sz w:val="30"/>
          <w:szCs w:val="30"/>
        </w:rPr>
        <w:t>行为，对于推动诚信体系建设，净化创新环境具有积极意义。</w:t>
      </w:r>
    </w:p>
    <w:p w:rsidR="00D906DC" w:rsidRPr="007C2CDD" w:rsidRDefault="00D906DC" w:rsidP="00E711DA">
      <w:pPr>
        <w:pStyle w:val="1"/>
      </w:pPr>
      <w:r>
        <w:br w:type="page"/>
      </w:r>
      <w:bookmarkStart w:id="22" w:name="_Toc38029059"/>
      <w:r>
        <w:lastRenderedPageBreak/>
        <w:t>9</w:t>
      </w:r>
      <w:r w:rsidRPr="007C2CDD">
        <w:t>.</w:t>
      </w:r>
      <w:r w:rsidRPr="007C2CDD">
        <w:rPr>
          <w:rFonts w:hint="eastAsia"/>
        </w:rPr>
        <w:t>企业设计总监与经销商合谋共同犯假冒注册商标罪</w:t>
      </w:r>
      <w:r>
        <w:rPr>
          <w:rFonts w:hint="eastAsia"/>
        </w:rPr>
        <w:t>案</w:t>
      </w:r>
      <w:bookmarkEnd w:id="22"/>
    </w:p>
    <w:p w:rsidR="00D906DC" w:rsidRDefault="00D906DC" w:rsidP="00E711DA">
      <w:pPr>
        <w:pStyle w:val="2"/>
      </w:pPr>
      <w:bookmarkStart w:id="23" w:name="_Toc38029060"/>
      <w:r w:rsidRPr="00753BB1">
        <w:t>——</w:t>
      </w:r>
      <w:r>
        <w:rPr>
          <w:rFonts w:hint="eastAsia"/>
        </w:rPr>
        <w:t>被告人林某</w:t>
      </w:r>
      <w:r w:rsidRPr="003A5F02">
        <w:rPr>
          <w:rFonts w:hint="eastAsia"/>
        </w:rPr>
        <w:t>、</w:t>
      </w:r>
      <w:r>
        <w:rPr>
          <w:rFonts w:hint="eastAsia"/>
        </w:rPr>
        <w:t>沈某康</w:t>
      </w:r>
      <w:r w:rsidRPr="003A5F02">
        <w:rPr>
          <w:rFonts w:hint="eastAsia"/>
        </w:rPr>
        <w:t>、</w:t>
      </w:r>
      <w:r>
        <w:rPr>
          <w:rFonts w:hint="eastAsia"/>
        </w:rPr>
        <w:t>余某</w:t>
      </w:r>
      <w:r w:rsidRPr="003A5F02">
        <w:rPr>
          <w:rFonts w:hint="eastAsia"/>
        </w:rPr>
        <w:t>犯假冒注册商标罪，</w:t>
      </w:r>
      <w:r>
        <w:rPr>
          <w:rFonts w:hint="eastAsia"/>
        </w:rPr>
        <w:t>被告人沈某娟</w:t>
      </w:r>
      <w:r w:rsidRPr="003A5F02">
        <w:rPr>
          <w:rFonts w:hint="eastAsia"/>
        </w:rPr>
        <w:t>犯假冒注册商标罪、职务侵占罪</w:t>
      </w:r>
      <w:r>
        <w:rPr>
          <w:rFonts w:hint="eastAsia"/>
        </w:rPr>
        <w:t>案</w:t>
      </w:r>
      <w:bookmarkEnd w:id="23"/>
    </w:p>
    <w:p w:rsidR="00D906DC" w:rsidRPr="007C2CDD" w:rsidRDefault="00D906DC" w:rsidP="00E711DA">
      <w:pPr>
        <w:adjustRightInd w:val="0"/>
        <w:snapToGrid w:val="0"/>
        <w:spacing w:line="520" w:lineRule="exact"/>
        <w:rPr>
          <w:rFonts w:ascii="仿宋_GB2312" w:eastAsia="仿宋_GB2312"/>
          <w:sz w:val="30"/>
          <w:szCs w:val="30"/>
        </w:rPr>
      </w:pPr>
    </w:p>
    <w:p w:rsidR="00D906DC" w:rsidRPr="00C75269" w:rsidRDefault="00D906DC" w:rsidP="005F3E79">
      <w:pPr>
        <w:adjustRightInd w:val="0"/>
        <w:snapToGrid w:val="0"/>
        <w:spacing w:line="520" w:lineRule="exact"/>
        <w:ind w:firstLineChars="200" w:firstLine="602"/>
        <w:rPr>
          <w:rFonts w:ascii="仿宋_GB2312" w:eastAsia="仿宋_GB2312"/>
          <w:b/>
          <w:bCs/>
          <w:sz w:val="30"/>
          <w:szCs w:val="30"/>
        </w:rPr>
      </w:pPr>
      <w:r w:rsidRPr="00C75269">
        <w:rPr>
          <w:rFonts w:ascii="仿宋_GB2312" w:eastAsia="仿宋_GB2312" w:hint="eastAsia"/>
          <w:b/>
          <w:bCs/>
          <w:sz w:val="30"/>
          <w:szCs w:val="30"/>
        </w:rPr>
        <w:t>【案件信息】</w:t>
      </w:r>
    </w:p>
    <w:p w:rsidR="00D906DC" w:rsidRPr="007C2CDD" w:rsidRDefault="00D906DC" w:rsidP="005F3E79">
      <w:pPr>
        <w:adjustRightInd w:val="0"/>
        <w:snapToGrid w:val="0"/>
        <w:spacing w:line="520" w:lineRule="exact"/>
        <w:ind w:firstLineChars="200" w:firstLine="600"/>
        <w:rPr>
          <w:rFonts w:ascii="仿宋_GB2312" w:eastAsia="仿宋_GB2312"/>
          <w:sz w:val="30"/>
          <w:szCs w:val="30"/>
        </w:rPr>
      </w:pPr>
      <w:r w:rsidRPr="007C2CDD">
        <w:rPr>
          <w:rFonts w:ascii="仿宋_GB2312" w:eastAsia="仿宋_GB2312" w:hint="eastAsia"/>
          <w:sz w:val="30"/>
          <w:szCs w:val="30"/>
        </w:rPr>
        <w:t>案号：</w:t>
      </w:r>
      <w:r>
        <w:rPr>
          <w:rFonts w:ascii="仿宋_GB2312" w:eastAsia="仿宋_GB2312" w:hint="eastAsia"/>
          <w:sz w:val="30"/>
          <w:szCs w:val="30"/>
        </w:rPr>
        <w:t>常熟法院</w:t>
      </w:r>
      <w:r w:rsidRPr="007C2CDD">
        <w:rPr>
          <w:rFonts w:ascii="仿宋_GB2312" w:eastAsia="仿宋_GB2312" w:hint="eastAsia"/>
          <w:sz w:val="30"/>
          <w:szCs w:val="30"/>
        </w:rPr>
        <w:t>（</w:t>
      </w:r>
      <w:r w:rsidRPr="007C2CDD">
        <w:rPr>
          <w:rFonts w:ascii="仿宋_GB2312" w:eastAsia="仿宋_GB2312"/>
          <w:sz w:val="30"/>
          <w:szCs w:val="30"/>
        </w:rPr>
        <w:t>2019</w:t>
      </w:r>
      <w:r w:rsidRPr="007C2CDD">
        <w:rPr>
          <w:rFonts w:ascii="仿宋_GB2312" w:eastAsia="仿宋_GB2312" w:hint="eastAsia"/>
          <w:sz w:val="30"/>
          <w:szCs w:val="30"/>
        </w:rPr>
        <w:t>）苏</w:t>
      </w:r>
      <w:r w:rsidRPr="007C2CDD">
        <w:rPr>
          <w:rFonts w:ascii="仿宋_GB2312" w:eastAsia="仿宋_GB2312"/>
          <w:sz w:val="30"/>
          <w:szCs w:val="30"/>
        </w:rPr>
        <w:t>0581</w:t>
      </w:r>
      <w:r w:rsidRPr="007C2CDD">
        <w:rPr>
          <w:rFonts w:ascii="仿宋_GB2312" w:eastAsia="仿宋_GB2312" w:hint="eastAsia"/>
          <w:sz w:val="30"/>
          <w:szCs w:val="30"/>
        </w:rPr>
        <w:t>刑初</w:t>
      </w:r>
      <w:r w:rsidRPr="007C2CDD">
        <w:rPr>
          <w:rFonts w:ascii="仿宋_GB2312" w:eastAsia="仿宋_GB2312"/>
          <w:sz w:val="30"/>
          <w:szCs w:val="30"/>
        </w:rPr>
        <w:t>89</w:t>
      </w:r>
      <w:r w:rsidRPr="007C2CDD">
        <w:rPr>
          <w:rFonts w:ascii="仿宋_GB2312" w:eastAsia="仿宋_GB2312" w:hint="eastAsia"/>
          <w:sz w:val="30"/>
          <w:szCs w:val="30"/>
        </w:rPr>
        <w:t>号</w:t>
      </w:r>
    </w:p>
    <w:p w:rsidR="00D906DC" w:rsidRPr="007C2CDD" w:rsidRDefault="00D906DC" w:rsidP="005F3E79">
      <w:pPr>
        <w:adjustRightInd w:val="0"/>
        <w:snapToGrid w:val="0"/>
        <w:spacing w:line="520" w:lineRule="exact"/>
        <w:ind w:firstLineChars="500" w:firstLine="1500"/>
        <w:rPr>
          <w:rFonts w:ascii="仿宋_GB2312" w:eastAsia="仿宋_GB2312"/>
          <w:sz w:val="30"/>
          <w:szCs w:val="30"/>
        </w:rPr>
      </w:pPr>
      <w:r>
        <w:rPr>
          <w:rFonts w:ascii="仿宋_GB2312" w:eastAsia="仿宋_GB2312" w:hint="eastAsia"/>
          <w:sz w:val="30"/>
          <w:szCs w:val="30"/>
        </w:rPr>
        <w:t>苏州中院</w:t>
      </w:r>
      <w:r w:rsidRPr="007C2CDD">
        <w:rPr>
          <w:rFonts w:ascii="仿宋_GB2312" w:eastAsia="仿宋_GB2312" w:hint="eastAsia"/>
          <w:sz w:val="30"/>
          <w:szCs w:val="30"/>
        </w:rPr>
        <w:t>（</w:t>
      </w:r>
      <w:r w:rsidRPr="007C2CDD">
        <w:rPr>
          <w:rFonts w:ascii="仿宋_GB2312" w:eastAsia="仿宋_GB2312"/>
          <w:sz w:val="30"/>
          <w:szCs w:val="30"/>
        </w:rPr>
        <w:t>2019</w:t>
      </w:r>
      <w:r w:rsidRPr="007C2CDD">
        <w:rPr>
          <w:rFonts w:ascii="仿宋_GB2312" w:eastAsia="仿宋_GB2312" w:hint="eastAsia"/>
          <w:sz w:val="30"/>
          <w:szCs w:val="30"/>
        </w:rPr>
        <w:t>）苏</w:t>
      </w:r>
      <w:r w:rsidRPr="007C2CDD">
        <w:rPr>
          <w:rFonts w:ascii="仿宋_GB2312" w:eastAsia="仿宋_GB2312"/>
          <w:sz w:val="30"/>
          <w:szCs w:val="30"/>
        </w:rPr>
        <w:t>05</w:t>
      </w:r>
      <w:r w:rsidRPr="007C2CDD">
        <w:rPr>
          <w:rFonts w:ascii="仿宋_GB2312" w:eastAsia="仿宋_GB2312" w:hint="eastAsia"/>
          <w:sz w:val="30"/>
          <w:szCs w:val="30"/>
        </w:rPr>
        <w:t>刑终</w:t>
      </w:r>
      <w:r w:rsidRPr="007C2CDD">
        <w:rPr>
          <w:rFonts w:ascii="仿宋_GB2312" w:eastAsia="仿宋_GB2312"/>
          <w:sz w:val="30"/>
          <w:szCs w:val="30"/>
        </w:rPr>
        <w:t>559</w:t>
      </w:r>
      <w:r w:rsidRPr="007C2CDD">
        <w:rPr>
          <w:rFonts w:ascii="仿宋_GB2312" w:eastAsia="仿宋_GB2312" w:hint="eastAsia"/>
          <w:sz w:val="30"/>
          <w:szCs w:val="30"/>
        </w:rPr>
        <w:t>号</w:t>
      </w:r>
    </w:p>
    <w:p w:rsidR="00D906DC" w:rsidRPr="007C2CDD" w:rsidRDefault="00D906DC" w:rsidP="005F3E79">
      <w:pPr>
        <w:adjustRightInd w:val="0"/>
        <w:snapToGrid w:val="0"/>
        <w:spacing w:line="520" w:lineRule="exact"/>
        <w:ind w:firstLineChars="200" w:firstLine="600"/>
        <w:rPr>
          <w:rFonts w:ascii="仿宋_GB2312" w:eastAsia="仿宋_GB2312"/>
          <w:sz w:val="30"/>
          <w:szCs w:val="30"/>
        </w:rPr>
      </w:pPr>
      <w:r w:rsidRPr="007C2CDD">
        <w:rPr>
          <w:rFonts w:ascii="仿宋_GB2312" w:eastAsia="仿宋_GB2312" w:hint="eastAsia"/>
          <w:sz w:val="30"/>
          <w:szCs w:val="30"/>
        </w:rPr>
        <w:t>公诉机关：江苏省常熟市人民检察院</w:t>
      </w:r>
    </w:p>
    <w:p w:rsidR="00D906DC" w:rsidRPr="007C2CDD" w:rsidRDefault="00D906DC" w:rsidP="005F3E79">
      <w:pPr>
        <w:adjustRightInd w:val="0"/>
        <w:snapToGrid w:val="0"/>
        <w:spacing w:line="520" w:lineRule="exact"/>
        <w:ind w:firstLineChars="200" w:firstLine="600"/>
        <w:rPr>
          <w:rFonts w:ascii="仿宋_GB2312" w:eastAsia="仿宋_GB2312"/>
          <w:sz w:val="30"/>
          <w:szCs w:val="30"/>
        </w:rPr>
      </w:pPr>
      <w:r w:rsidRPr="007C2CDD">
        <w:rPr>
          <w:rFonts w:ascii="仿宋_GB2312" w:eastAsia="仿宋_GB2312" w:hint="eastAsia"/>
          <w:sz w:val="30"/>
          <w:szCs w:val="30"/>
        </w:rPr>
        <w:t>被告人：</w:t>
      </w:r>
      <w:r>
        <w:rPr>
          <w:rFonts w:ascii="仿宋_GB2312" w:eastAsia="仿宋_GB2312" w:hint="eastAsia"/>
          <w:sz w:val="30"/>
          <w:szCs w:val="30"/>
        </w:rPr>
        <w:t>沈某娟</w:t>
      </w:r>
      <w:r w:rsidRPr="007C2CDD">
        <w:rPr>
          <w:rFonts w:ascii="仿宋_GB2312" w:eastAsia="仿宋_GB2312" w:hint="eastAsia"/>
          <w:sz w:val="30"/>
          <w:szCs w:val="30"/>
        </w:rPr>
        <w:t>、</w:t>
      </w:r>
      <w:r>
        <w:rPr>
          <w:rFonts w:ascii="仿宋_GB2312" w:eastAsia="仿宋_GB2312" w:hint="eastAsia"/>
          <w:sz w:val="30"/>
          <w:szCs w:val="30"/>
        </w:rPr>
        <w:t>林某</w:t>
      </w:r>
      <w:r w:rsidRPr="007C2CDD">
        <w:rPr>
          <w:rFonts w:ascii="仿宋_GB2312" w:eastAsia="仿宋_GB2312" w:hint="eastAsia"/>
          <w:sz w:val="30"/>
          <w:szCs w:val="30"/>
        </w:rPr>
        <w:t>、</w:t>
      </w:r>
      <w:r>
        <w:rPr>
          <w:rFonts w:ascii="仿宋_GB2312" w:eastAsia="仿宋_GB2312" w:hint="eastAsia"/>
          <w:sz w:val="30"/>
          <w:szCs w:val="30"/>
        </w:rPr>
        <w:t>沈某康</w:t>
      </w:r>
      <w:r w:rsidRPr="007C2CDD">
        <w:rPr>
          <w:rFonts w:ascii="仿宋_GB2312" w:eastAsia="仿宋_GB2312" w:hint="eastAsia"/>
          <w:sz w:val="30"/>
          <w:szCs w:val="30"/>
        </w:rPr>
        <w:t>、</w:t>
      </w:r>
      <w:r>
        <w:rPr>
          <w:rFonts w:ascii="仿宋_GB2312" w:eastAsia="仿宋_GB2312" w:hint="eastAsia"/>
          <w:sz w:val="30"/>
          <w:szCs w:val="30"/>
        </w:rPr>
        <w:t>余某</w:t>
      </w:r>
    </w:p>
    <w:p w:rsidR="00D906DC" w:rsidRPr="00C75269" w:rsidRDefault="00D906DC" w:rsidP="005F3E79">
      <w:pPr>
        <w:adjustRightInd w:val="0"/>
        <w:snapToGrid w:val="0"/>
        <w:spacing w:line="520" w:lineRule="exact"/>
        <w:ind w:firstLineChars="200" w:firstLine="602"/>
        <w:rPr>
          <w:rFonts w:ascii="仿宋_GB2312" w:eastAsia="仿宋_GB2312"/>
          <w:b/>
          <w:bCs/>
          <w:sz w:val="30"/>
          <w:szCs w:val="30"/>
        </w:rPr>
      </w:pPr>
      <w:r w:rsidRPr="00C75269">
        <w:rPr>
          <w:rFonts w:ascii="仿宋_GB2312" w:eastAsia="仿宋_GB2312" w:hint="eastAsia"/>
          <w:b/>
          <w:bCs/>
          <w:sz w:val="30"/>
          <w:szCs w:val="30"/>
        </w:rPr>
        <w:t>【裁判要旨】</w:t>
      </w:r>
    </w:p>
    <w:p w:rsidR="00D906DC" w:rsidRPr="007C2CDD" w:rsidRDefault="00D906DC" w:rsidP="005F3E79">
      <w:pPr>
        <w:adjustRightInd w:val="0"/>
        <w:snapToGrid w:val="0"/>
        <w:spacing w:line="520" w:lineRule="exact"/>
        <w:ind w:firstLineChars="200" w:firstLine="600"/>
        <w:rPr>
          <w:rFonts w:ascii="仿宋_GB2312" w:eastAsia="仿宋_GB2312"/>
          <w:sz w:val="30"/>
          <w:szCs w:val="30"/>
        </w:rPr>
      </w:pPr>
      <w:r w:rsidRPr="007C2CDD">
        <w:rPr>
          <w:rFonts w:ascii="仿宋_GB2312" w:eastAsia="仿宋_GB2312" w:hint="eastAsia"/>
          <w:sz w:val="30"/>
          <w:szCs w:val="30"/>
        </w:rPr>
        <w:t>企业员工在职期间与经销商合谋，内外勾结，分工合作，共同犯罪，制造假冒权利人注册商标的商品，并将假冒产品与正品混杂销售牟利，构成假冒注册商标罪。其性质十分恶劣、情节特别</w:t>
      </w:r>
      <w:r>
        <w:rPr>
          <w:rFonts w:ascii="仿宋_GB2312" w:eastAsia="仿宋_GB2312" w:hint="eastAsia"/>
          <w:sz w:val="30"/>
          <w:szCs w:val="30"/>
        </w:rPr>
        <w:t>严重</w:t>
      </w:r>
      <w:r w:rsidRPr="007C2CDD">
        <w:rPr>
          <w:rFonts w:ascii="仿宋_GB2312" w:eastAsia="仿宋_GB2312" w:hint="eastAsia"/>
          <w:sz w:val="30"/>
          <w:szCs w:val="30"/>
        </w:rPr>
        <w:t>，依法应予严惩。</w:t>
      </w:r>
    </w:p>
    <w:p w:rsidR="00D906DC" w:rsidRPr="00C75269" w:rsidRDefault="00D906DC" w:rsidP="005F3E79">
      <w:pPr>
        <w:adjustRightInd w:val="0"/>
        <w:snapToGrid w:val="0"/>
        <w:spacing w:line="520" w:lineRule="exact"/>
        <w:ind w:firstLineChars="200" w:firstLine="602"/>
        <w:rPr>
          <w:rFonts w:ascii="仿宋_GB2312" w:eastAsia="仿宋_GB2312"/>
          <w:b/>
          <w:bCs/>
          <w:sz w:val="30"/>
          <w:szCs w:val="30"/>
        </w:rPr>
      </w:pPr>
      <w:r w:rsidRPr="00C75269">
        <w:rPr>
          <w:rFonts w:ascii="仿宋_GB2312" w:eastAsia="仿宋_GB2312" w:hint="eastAsia"/>
          <w:b/>
          <w:bCs/>
          <w:sz w:val="30"/>
          <w:szCs w:val="30"/>
        </w:rPr>
        <w:t>【基本案情】</w:t>
      </w:r>
    </w:p>
    <w:p w:rsidR="00D906DC" w:rsidRPr="007C2CDD" w:rsidRDefault="00D906DC" w:rsidP="005F3E79">
      <w:pPr>
        <w:adjustRightInd w:val="0"/>
        <w:snapToGrid w:val="0"/>
        <w:spacing w:line="520" w:lineRule="exact"/>
        <w:ind w:firstLineChars="200" w:firstLine="600"/>
        <w:rPr>
          <w:rFonts w:ascii="仿宋_GB2312" w:eastAsia="仿宋_GB2312"/>
          <w:sz w:val="30"/>
          <w:szCs w:val="30"/>
        </w:rPr>
      </w:pPr>
      <w:r w:rsidRPr="007C2CDD">
        <w:rPr>
          <w:rFonts w:ascii="仿宋_GB2312" w:eastAsia="仿宋_GB2312" w:hint="eastAsia"/>
          <w:sz w:val="30"/>
          <w:szCs w:val="30"/>
        </w:rPr>
        <w:t>被告人</w:t>
      </w:r>
      <w:r>
        <w:rPr>
          <w:rFonts w:ascii="仿宋_GB2312" w:eastAsia="仿宋_GB2312" w:hint="eastAsia"/>
          <w:sz w:val="30"/>
          <w:szCs w:val="30"/>
        </w:rPr>
        <w:t>沈某娟</w:t>
      </w:r>
      <w:r w:rsidRPr="007C2CDD">
        <w:rPr>
          <w:rFonts w:ascii="仿宋_GB2312" w:eastAsia="仿宋_GB2312" w:hint="eastAsia"/>
          <w:sz w:val="30"/>
          <w:szCs w:val="30"/>
        </w:rPr>
        <w:t>原系波司登国际服饰（中国）有限公司（以下简称波司登公司）羽绒服产品中心设计总监，负责产品设计研发工作，掌握“波司登”羽绒服的最新款式及面辅料参数等涉密信息。被告人</w:t>
      </w:r>
      <w:r>
        <w:rPr>
          <w:rFonts w:ascii="仿宋_GB2312" w:eastAsia="仿宋_GB2312" w:hint="eastAsia"/>
          <w:sz w:val="30"/>
          <w:szCs w:val="30"/>
        </w:rPr>
        <w:t>林某</w:t>
      </w:r>
      <w:r w:rsidRPr="007C2CDD">
        <w:rPr>
          <w:rFonts w:ascii="仿宋_GB2312" w:eastAsia="仿宋_GB2312" w:hint="eastAsia"/>
          <w:sz w:val="30"/>
          <w:szCs w:val="30"/>
        </w:rPr>
        <w:t>原系“波司登”品牌羽绒服在辽宁省丹东市的经销商，拥有相应的销售渠道。</w:t>
      </w:r>
      <w:r w:rsidRPr="007C2CDD">
        <w:rPr>
          <w:rFonts w:ascii="仿宋_GB2312" w:eastAsia="仿宋_GB2312"/>
          <w:sz w:val="30"/>
          <w:szCs w:val="30"/>
        </w:rPr>
        <w:t>2017</w:t>
      </w:r>
      <w:r w:rsidRPr="007C2CDD">
        <w:rPr>
          <w:rFonts w:ascii="仿宋_GB2312" w:eastAsia="仿宋_GB2312" w:hint="eastAsia"/>
          <w:sz w:val="30"/>
          <w:szCs w:val="30"/>
        </w:rPr>
        <w:t>年下半年，被告人</w:t>
      </w:r>
      <w:r>
        <w:rPr>
          <w:rFonts w:ascii="仿宋_GB2312" w:eastAsia="仿宋_GB2312" w:hint="eastAsia"/>
          <w:sz w:val="30"/>
          <w:szCs w:val="30"/>
        </w:rPr>
        <w:t>林某</w:t>
      </w:r>
      <w:r w:rsidRPr="007C2CDD">
        <w:rPr>
          <w:rFonts w:ascii="仿宋_GB2312" w:eastAsia="仿宋_GB2312" w:hint="eastAsia"/>
          <w:sz w:val="30"/>
          <w:szCs w:val="30"/>
        </w:rPr>
        <w:t>、</w:t>
      </w:r>
      <w:r>
        <w:rPr>
          <w:rFonts w:ascii="仿宋_GB2312" w:eastAsia="仿宋_GB2312" w:hint="eastAsia"/>
          <w:sz w:val="30"/>
          <w:szCs w:val="30"/>
        </w:rPr>
        <w:t>沈某娟</w:t>
      </w:r>
      <w:r w:rsidRPr="007C2CDD">
        <w:rPr>
          <w:rFonts w:ascii="仿宋_GB2312" w:eastAsia="仿宋_GB2312" w:hint="eastAsia"/>
          <w:sz w:val="30"/>
          <w:szCs w:val="30"/>
        </w:rPr>
        <w:t>预谋通过假冒“波司登”系列注册商标的羽绒服牟利，具体方式为：被告人</w:t>
      </w:r>
      <w:r>
        <w:rPr>
          <w:rFonts w:ascii="仿宋_GB2312" w:eastAsia="仿宋_GB2312" w:hint="eastAsia"/>
          <w:sz w:val="30"/>
          <w:szCs w:val="30"/>
        </w:rPr>
        <w:t>沈某娟</w:t>
      </w:r>
      <w:r w:rsidRPr="007C2CDD">
        <w:rPr>
          <w:rFonts w:ascii="仿宋_GB2312" w:eastAsia="仿宋_GB2312" w:hint="eastAsia"/>
          <w:sz w:val="30"/>
          <w:szCs w:val="30"/>
        </w:rPr>
        <w:t>获取羽绒服的样衣和参数，由其委托被告人</w:t>
      </w:r>
      <w:r>
        <w:rPr>
          <w:rFonts w:ascii="仿宋_GB2312" w:eastAsia="仿宋_GB2312" w:hint="eastAsia"/>
          <w:sz w:val="30"/>
          <w:szCs w:val="30"/>
        </w:rPr>
        <w:t>沈某康</w:t>
      </w:r>
      <w:r w:rsidRPr="007C2CDD">
        <w:rPr>
          <w:rFonts w:ascii="仿宋_GB2312" w:eastAsia="仿宋_GB2312" w:hint="eastAsia"/>
          <w:sz w:val="30"/>
          <w:szCs w:val="30"/>
        </w:rPr>
        <w:t>具体负责加工事宜，被告人</w:t>
      </w:r>
      <w:r>
        <w:rPr>
          <w:rFonts w:ascii="仿宋_GB2312" w:eastAsia="仿宋_GB2312" w:hint="eastAsia"/>
          <w:sz w:val="30"/>
          <w:szCs w:val="30"/>
        </w:rPr>
        <w:t>林某</w:t>
      </w:r>
      <w:r w:rsidRPr="007C2CDD">
        <w:rPr>
          <w:rFonts w:ascii="仿宋_GB2312" w:eastAsia="仿宋_GB2312" w:hint="eastAsia"/>
          <w:sz w:val="30"/>
          <w:szCs w:val="30"/>
        </w:rPr>
        <w:t>负责出资并将所制羽绒服掺杂在正品中销售。此后，由被告人</w:t>
      </w:r>
      <w:r>
        <w:rPr>
          <w:rFonts w:ascii="仿宋_GB2312" w:eastAsia="仿宋_GB2312" w:hint="eastAsia"/>
          <w:sz w:val="30"/>
          <w:szCs w:val="30"/>
        </w:rPr>
        <w:t>沈某康</w:t>
      </w:r>
      <w:r w:rsidRPr="007C2CDD">
        <w:rPr>
          <w:rFonts w:ascii="仿宋_GB2312" w:eastAsia="仿宋_GB2312" w:hint="eastAsia"/>
          <w:sz w:val="30"/>
          <w:szCs w:val="30"/>
        </w:rPr>
        <w:t>提供面料、辅料，并委托任</w:t>
      </w:r>
      <w:r>
        <w:rPr>
          <w:rFonts w:ascii="仿宋_GB2312" w:eastAsia="仿宋_GB2312" w:hint="eastAsia"/>
          <w:sz w:val="30"/>
          <w:szCs w:val="30"/>
        </w:rPr>
        <w:t>某某</w:t>
      </w:r>
      <w:r w:rsidRPr="007C2CDD">
        <w:rPr>
          <w:rFonts w:ascii="仿宋_GB2312" w:eastAsia="仿宋_GB2312" w:hint="eastAsia"/>
          <w:sz w:val="30"/>
          <w:szCs w:val="30"/>
        </w:rPr>
        <w:t>、李</w:t>
      </w:r>
      <w:r>
        <w:rPr>
          <w:rFonts w:ascii="仿宋_GB2312" w:eastAsia="仿宋_GB2312" w:hint="eastAsia"/>
          <w:sz w:val="30"/>
          <w:szCs w:val="30"/>
        </w:rPr>
        <w:t>某某</w:t>
      </w:r>
      <w:r w:rsidRPr="007C2CDD">
        <w:rPr>
          <w:rFonts w:ascii="仿宋_GB2312" w:eastAsia="仿宋_GB2312" w:hint="eastAsia"/>
          <w:sz w:val="30"/>
          <w:szCs w:val="30"/>
        </w:rPr>
        <w:t>（均已另案判处）、被</w:t>
      </w:r>
      <w:r w:rsidRPr="007C2CDD">
        <w:rPr>
          <w:rFonts w:ascii="仿宋_GB2312" w:eastAsia="仿宋_GB2312" w:hint="eastAsia"/>
          <w:sz w:val="30"/>
          <w:szCs w:val="30"/>
        </w:rPr>
        <w:lastRenderedPageBreak/>
        <w:t>告人</w:t>
      </w:r>
      <w:r>
        <w:rPr>
          <w:rFonts w:ascii="仿宋_GB2312" w:eastAsia="仿宋_GB2312" w:hint="eastAsia"/>
          <w:sz w:val="30"/>
          <w:szCs w:val="30"/>
        </w:rPr>
        <w:t>余某</w:t>
      </w:r>
      <w:r w:rsidRPr="007C2CDD">
        <w:rPr>
          <w:rFonts w:ascii="仿宋_GB2312" w:eastAsia="仿宋_GB2312" w:hint="eastAsia"/>
          <w:sz w:val="30"/>
          <w:szCs w:val="30"/>
        </w:rPr>
        <w:t>加工了假冒“波司登”系列注册商标的六款羽绒服，每款均为</w:t>
      </w:r>
      <w:r w:rsidRPr="007C2CDD">
        <w:rPr>
          <w:rFonts w:ascii="仿宋_GB2312" w:eastAsia="仿宋_GB2312"/>
          <w:sz w:val="30"/>
          <w:szCs w:val="30"/>
        </w:rPr>
        <w:t>500</w:t>
      </w:r>
      <w:r w:rsidRPr="007C2CDD">
        <w:rPr>
          <w:rFonts w:ascii="仿宋_GB2312" w:eastAsia="仿宋_GB2312" w:hint="eastAsia"/>
          <w:sz w:val="30"/>
          <w:szCs w:val="30"/>
        </w:rPr>
        <w:t>件，共计</w:t>
      </w:r>
      <w:r w:rsidRPr="007C2CDD">
        <w:rPr>
          <w:rFonts w:ascii="仿宋_GB2312" w:eastAsia="仿宋_GB2312"/>
          <w:sz w:val="30"/>
          <w:szCs w:val="30"/>
        </w:rPr>
        <w:t>3000</w:t>
      </w:r>
      <w:r w:rsidRPr="007C2CDD">
        <w:rPr>
          <w:rFonts w:ascii="仿宋_GB2312" w:eastAsia="仿宋_GB2312" w:hint="eastAsia"/>
          <w:sz w:val="30"/>
          <w:szCs w:val="30"/>
        </w:rPr>
        <w:t>件，非法经营数额达人民币</w:t>
      </w:r>
      <w:r w:rsidRPr="007C2CDD">
        <w:rPr>
          <w:rFonts w:ascii="仿宋_GB2312" w:eastAsia="仿宋_GB2312"/>
          <w:sz w:val="30"/>
          <w:szCs w:val="30"/>
        </w:rPr>
        <w:t>1115000</w:t>
      </w:r>
      <w:r w:rsidRPr="007C2CDD">
        <w:rPr>
          <w:rFonts w:ascii="仿宋_GB2312" w:eastAsia="仿宋_GB2312" w:hint="eastAsia"/>
          <w:sz w:val="30"/>
          <w:szCs w:val="30"/>
        </w:rPr>
        <w:t>元。其中，被告人</w:t>
      </w:r>
      <w:r>
        <w:rPr>
          <w:rFonts w:ascii="仿宋_GB2312" w:eastAsia="仿宋_GB2312" w:hint="eastAsia"/>
          <w:sz w:val="30"/>
          <w:szCs w:val="30"/>
        </w:rPr>
        <w:t>余某</w:t>
      </w:r>
      <w:r w:rsidRPr="007C2CDD">
        <w:rPr>
          <w:rFonts w:ascii="仿宋_GB2312" w:eastAsia="仿宋_GB2312" w:hint="eastAsia"/>
          <w:sz w:val="30"/>
          <w:szCs w:val="30"/>
        </w:rPr>
        <w:t>在位于江苏省泰兴市黄桥镇的羽绒服加工作坊假冒了其中三款假冒“波司登”系列注册商标的羽绒服，每款</w:t>
      </w:r>
      <w:r w:rsidRPr="007C2CDD">
        <w:rPr>
          <w:rFonts w:ascii="仿宋_GB2312" w:eastAsia="仿宋_GB2312"/>
          <w:sz w:val="30"/>
          <w:szCs w:val="30"/>
        </w:rPr>
        <w:t>500</w:t>
      </w:r>
      <w:r w:rsidRPr="007C2CDD">
        <w:rPr>
          <w:rFonts w:ascii="仿宋_GB2312" w:eastAsia="仿宋_GB2312" w:hint="eastAsia"/>
          <w:sz w:val="30"/>
          <w:szCs w:val="30"/>
        </w:rPr>
        <w:t>件，共计</w:t>
      </w:r>
      <w:r w:rsidRPr="007C2CDD">
        <w:rPr>
          <w:rFonts w:ascii="仿宋_GB2312" w:eastAsia="仿宋_GB2312"/>
          <w:sz w:val="30"/>
          <w:szCs w:val="30"/>
        </w:rPr>
        <w:t>1500</w:t>
      </w:r>
      <w:r w:rsidRPr="007C2CDD">
        <w:rPr>
          <w:rFonts w:ascii="仿宋_GB2312" w:eastAsia="仿宋_GB2312" w:hint="eastAsia"/>
          <w:sz w:val="30"/>
          <w:szCs w:val="30"/>
        </w:rPr>
        <w:t>件，货值达人民币</w:t>
      </w:r>
      <w:r w:rsidRPr="007C2CDD">
        <w:rPr>
          <w:rFonts w:ascii="仿宋_GB2312" w:eastAsia="仿宋_GB2312"/>
          <w:sz w:val="30"/>
          <w:szCs w:val="30"/>
        </w:rPr>
        <w:t>585000</w:t>
      </w:r>
      <w:r w:rsidRPr="007C2CDD">
        <w:rPr>
          <w:rFonts w:ascii="仿宋_GB2312" w:eastAsia="仿宋_GB2312" w:hint="eastAsia"/>
          <w:sz w:val="30"/>
          <w:szCs w:val="30"/>
        </w:rPr>
        <w:t>元，收取加工费人民币</w:t>
      </w:r>
      <w:r w:rsidRPr="007C2CDD">
        <w:rPr>
          <w:rFonts w:ascii="仿宋_GB2312" w:eastAsia="仿宋_GB2312"/>
          <w:sz w:val="30"/>
          <w:szCs w:val="30"/>
        </w:rPr>
        <w:t>160000</w:t>
      </w:r>
      <w:r w:rsidRPr="007C2CDD">
        <w:rPr>
          <w:rFonts w:ascii="仿宋_GB2312" w:eastAsia="仿宋_GB2312" w:hint="eastAsia"/>
          <w:sz w:val="30"/>
          <w:szCs w:val="30"/>
        </w:rPr>
        <w:t>余元。</w:t>
      </w:r>
    </w:p>
    <w:p w:rsidR="00D906DC" w:rsidRPr="007C2CDD" w:rsidRDefault="00D906DC" w:rsidP="005F3E79">
      <w:pPr>
        <w:adjustRightInd w:val="0"/>
        <w:snapToGrid w:val="0"/>
        <w:spacing w:line="520" w:lineRule="exact"/>
        <w:ind w:firstLineChars="200" w:firstLine="600"/>
        <w:rPr>
          <w:rFonts w:ascii="仿宋_GB2312" w:eastAsia="仿宋_GB2312"/>
          <w:sz w:val="30"/>
          <w:szCs w:val="30"/>
        </w:rPr>
      </w:pPr>
      <w:r w:rsidRPr="007C2CDD">
        <w:rPr>
          <w:rFonts w:ascii="仿宋_GB2312" w:eastAsia="仿宋_GB2312" w:hint="eastAsia"/>
          <w:sz w:val="30"/>
          <w:szCs w:val="30"/>
        </w:rPr>
        <w:t>加工完成后，被告人</w:t>
      </w:r>
      <w:r>
        <w:rPr>
          <w:rFonts w:ascii="仿宋_GB2312" w:eastAsia="仿宋_GB2312" w:hint="eastAsia"/>
          <w:sz w:val="30"/>
          <w:szCs w:val="30"/>
        </w:rPr>
        <w:t>沈某康</w:t>
      </w:r>
      <w:r w:rsidRPr="007C2CDD">
        <w:rPr>
          <w:rFonts w:ascii="仿宋_GB2312" w:eastAsia="仿宋_GB2312" w:hint="eastAsia"/>
          <w:sz w:val="30"/>
          <w:szCs w:val="30"/>
        </w:rPr>
        <w:t>通过物流将上述</w:t>
      </w:r>
      <w:r w:rsidRPr="007C2CDD">
        <w:rPr>
          <w:rFonts w:ascii="仿宋_GB2312" w:eastAsia="仿宋_GB2312"/>
          <w:sz w:val="30"/>
          <w:szCs w:val="30"/>
        </w:rPr>
        <w:t>2240</w:t>
      </w:r>
      <w:r w:rsidRPr="007C2CDD">
        <w:rPr>
          <w:rFonts w:ascii="仿宋_GB2312" w:eastAsia="仿宋_GB2312" w:hint="eastAsia"/>
          <w:sz w:val="30"/>
          <w:szCs w:val="30"/>
        </w:rPr>
        <w:t>件假冒“波司登”注册商标的羽绒服配送至被告人</w:t>
      </w:r>
      <w:r>
        <w:rPr>
          <w:rFonts w:ascii="仿宋_GB2312" w:eastAsia="仿宋_GB2312" w:hint="eastAsia"/>
          <w:sz w:val="30"/>
          <w:szCs w:val="30"/>
        </w:rPr>
        <w:t>林某</w:t>
      </w:r>
      <w:r w:rsidRPr="007C2CDD">
        <w:rPr>
          <w:rFonts w:ascii="仿宋_GB2312" w:eastAsia="仿宋_GB2312" w:hint="eastAsia"/>
          <w:sz w:val="30"/>
          <w:szCs w:val="30"/>
        </w:rPr>
        <w:t>的经营场所，并由被告人</w:t>
      </w:r>
      <w:r>
        <w:rPr>
          <w:rFonts w:ascii="仿宋_GB2312" w:eastAsia="仿宋_GB2312" w:hint="eastAsia"/>
          <w:sz w:val="30"/>
          <w:szCs w:val="30"/>
        </w:rPr>
        <w:t>林某</w:t>
      </w:r>
      <w:r w:rsidRPr="007C2CDD">
        <w:rPr>
          <w:rFonts w:ascii="仿宋_GB2312" w:eastAsia="仿宋_GB2312" w:hint="eastAsia"/>
          <w:sz w:val="30"/>
          <w:szCs w:val="30"/>
        </w:rPr>
        <w:t>对外销售，</w:t>
      </w:r>
      <w:r w:rsidRPr="007C2CDD">
        <w:rPr>
          <w:rFonts w:ascii="仿宋_GB2312" w:eastAsia="仿宋_GB2312"/>
          <w:sz w:val="30"/>
          <w:szCs w:val="30"/>
        </w:rPr>
        <w:t>260</w:t>
      </w:r>
      <w:r w:rsidRPr="007C2CDD">
        <w:rPr>
          <w:rFonts w:ascii="仿宋_GB2312" w:eastAsia="仿宋_GB2312" w:hint="eastAsia"/>
          <w:sz w:val="30"/>
          <w:szCs w:val="30"/>
        </w:rPr>
        <w:t>件则由被告人</w:t>
      </w:r>
      <w:r>
        <w:rPr>
          <w:rFonts w:ascii="仿宋_GB2312" w:eastAsia="仿宋_GB2312" w:hint="eastAsia"/>
          <w:sz w:val="30"/>
          <w:szCs w:val="30"/>
        </w:rPr>
        <w:t>余某</w:t>
      </w:r>
      <w:r w:rsidRPr="007C2CDD">
        <w:rPr>
          <w:rFonts w:ascii="仿宋_GB2312" w:eastAsia="仿宋_GB2312" w:hint="eastAsia"/>
          <w:sz w:val="30"/>
          <w:szCs w:val="30"/>
        </w:rPr>
        <w:t>自行处理，另外</w:t>
      </w:r>
      <w:r w:rsidRPr="007C2CDD">
        <w:rPr>
          <w:rFonts w:ascii="仿宋_GB2312" w:eastAsia="仿宋_GB2312"/>
          <w:sz w:val="30"/>
          <w:szCs w:val="30"/>
        </w:rPr>
        <w:t>494</w:t>
      </w:r>
      <w:r w:rsidRPr="007C2CDD">
        <w:rPr>
          <w:rFonts w:ascii="仿宋_GB2312" w:eastAsia="仿宋_GB2312" w:hint="eastAsia"/>
          <w:sz w:val="30"/>
          <w:szCs w:val="30"/>
        </w:rPr>
        <w:t>件由被告人</w:t>
      </w:r>
      <w:r>
        <w:rPr>
          <w:rFonts w:ascii="仿宋_GB2312" w:eastAsia="仿宋_GB2312" w:hint="eastAsia"/>
          <w:sz w:val="30"/>
          <w:szCs w:val="30"/>
        </w:rPr>
        <w:t>沈某康</w:t>
      </w:r>
      <w:r w:rsidRPr="007C2CDD">
        <w:rPr>
          <w:rFonts w:ascii="仿宋_GB2312" w:eastAsia="仿宋_GB2312" w:hint="eastAsia"/>
          <w:sz w:val="30"/>
          <w:szCs w:val="30"/>
        </w:rPr>
        <w:t>予以藏匿，剩余的则由</w:t>
      </w:r>
      <w:r>
        <w:rPr>
          <w:rFonts w:ascii="仿宋_GB2312" w:eastAsia="仿宋_GB2312" w:hint="eastAsia"/>
          <w:sz w:val="30"/>
          <w:szCs w:val="30"/>
        </w:rPr>
        <w:t>沈某康</w:t>
      </w:r>
      <w:r w:rsidRPr="007C2CDD">
        <w:rPr>
          <w:rFonts w:ascii="仿宋_GB2312" w:eastAsia="仿宋_GB2312" w:hint="eastAsia"/>
          <w:sz w:val="30"/>
          <w:szCs w:val="30"/>
        </w:rPr>
        <w:t>处理。案涉羽绒服与正品“波司登”羽绒服的用料及款式完全一样，并且带有“波司登”品牌标识。经鉴定，上述羽绒服均为假冒注册商标的商品。</w:t>
      </w:r>
    </w:p>
    <w:p w:rsidR="00D906DC" w:rsidRPr="007C2CDD" w:rsidRDefault="00D906DC" w:rsidP="005F3E79">
      <w:pPr>
        <w:adjustRightInd w:val="0"/>
        <w:snapToGrid w:val="0"/>
        <w:spacing w:line="520" w:lineRule="exact"/>
        <w:ind w:firstLineChars="200" w:firstLine="600"/>
        <w:rPr>
          <w:rFonts w:ascii="仿宋_GB2312" w:eastAsia="仿宋_GB2312"/>
          <w:sz w:val="30"/>
          <w:szCs w:val="30"/>
        </w:rPr>
      </w:pPr>
      <w:r w:rsidRPr="007C2CDD">
        <w:rPr>
          <w:rFonts w:ascii="仿宋_GB2312" w:eastAsia="仿宋_GB2312" w:hint="eastAsia"/>
          <w:sz w:val="30"/>
          <w:szCs w:val="30"/>
        </w:rPr>
        <w:t>被告人</w:t>
      </w:r>
      <w:r>
        <w:rPr>
          <w:rFonts w:ascii="仿宋_GB2312" w:eastAsia="仿宋_GB2312" w:hint="eastAsia"/>
          <w:sz w:val="30"/>
          <w:szCs w:val="30"/>
        </w:rPr>
        <w:t>沈某娟</w:t>
      </w:r>
      <w:r w:rsidRPr="007C2CDD">
        <w:rPr>
          <w:rFonts w:ascii="仿宋_GB2312" w:eastAsia="仿宋_GB2312" w:hint="eastAsia"/>
          <w:sz w:val="30"/>
          <w:szCs w:val="30"/>
        </w:rPr>
        <w:t>在波司登公司任职期间还利用其管理下属部门样衣生产、加工、储存的职务便利，指使他人将该中心技术部的“波司登”羽绒服共</w:t>
      </w:r>
      <w:r w:rsidRPr="007C2CDD">
        <w:rPr>
          <w:rFonts w:ascii="仿宋_GB2312" w:eastAsia="仿宋_GB2312"/>
          <w:sz w:val="30"/>
          <w:szCs w:val="30"/>
        </w:rPr>
        <w:t>135</w:t>
      </w:r>
      <w:r w:rsidRPr="007C2CDD">
        <w:rPr>
          <w:rFonts w:ascii="仿宋_GB2312" w:eastAsia="仿宋_GB2312" w:hint="eastAsia"/>
          <w:sz w:val="30"/>
          <w:szCs w:val="30"/>
        </w:rPr>
        <w:t>件，通过快递邮寄给被告人</w:t>
      </w:r>
      <w:r>
        <w:rPr>
          <w:rFonts w:ascii="仿宋_GB2312" w:eastAsia="仿宋_GB2312" w:hint="eastAsia"/>
          <w:sz w:val="30"/>
          <w:szCs w:val="30"/>
        </w:rPr>
        <w:t>林某</w:t>
      </w:r>
      <w:r w:rsidRPr="007C2CDD">
        <w:rPr>
          <w:rFonts w:ascii="仿宋_GB2312" w:eastAsia="仿宋_GB2312" w:hint="eastAsia"/>
          <w:sz w:val="30"/>
          <w:szCs w:val="30"/>
        </w:rPr>
        <w:t>销售牟利，上述羽绒服的价值共计人民币</w:t>
      </w:r>
      <w:r w:rsidRPr="007C2CDD">
        <w:rPr>
          <w:rFonts w:ascii="仿宋_GB2312" w:eastAsia="仿宋_GB2312"/>
          <w:sz w:val="30"/>
          <w:szCs w:val="30"/>
        </w:rPr>
        <w:t>202365</w:t>
      </w:r>
      <w:r w:rsidRPr="007C2CDD">
        <w:rPr>
          <w:rFonts w:ascii="仿宋_GB2312" w:eastAsia="仿宋_GB2312" w:hint="eastAsia"/>
          <w:sz w:val="30"/>
          <w:szCs w:val="30"/>
        </w:rPr>
        <w:t>元。</w:t>
      </w:r>
    </w:p>
    <w:p w:rsidR="00D906DC" w:rsidRPr="00C75269" w:rsidRDefault="00D906DC" w:rsidP="005F3E79">
      <w:pPr>
        <w:adjustRightInd w:val="0"/>
        <w:snapToGrid w:val="0"/>
        <w:spacing w:line="520" w:lineRule="exact"/>
        <w:ind w:firstLineChars="200" w:firstLine="602"/>
        <w:rPr>
          <w:rFonts w:ascii="仿宋_GB2312" w:eastAsia="仿宋_GB2312"/>
          <w:b/>
          <w:bCs/>
          <w:sz w:val="30"/>
          <w:szCs w:val="30"/>
        </w:rPr>
      </w:pPr>
      <w:r w:rsidRPr="00C75269">
        <w:rPr>
          <w:rFonts w:ascii="仿宋_GB2312" w:eastAsia="仿宋_GB2312" w:hint="eastAsia"/>
          <w:b/>
          <w:bCs/>
          <w:sz w:val="30"/>
          <w:szCs w:val="30"/>
        </w:rPr>
        <w:t>【法院认为】</w:t>
      </w:r>
    </w:p>
    <w:p w:rsidR="00D906DC" w:rsidRPr="007C2CDD" w:rsidRDefault="00D906DC" w:rsidP="005F3E79">
      <w:pPr>
        <w:adjustRightInd w:val="0"/>
        <w:snapToGrid w:val="0"/>
        <w:spacing w:line="520" w:lineRule="exact"/>
        <w:ind w:firstLineChars="200" w:firstLine="600"/>
        <w:rPr>
          <w:rFonts w:ascii="仿宋_GB2312" w:eastAsia="仿宋_GB2312"/>
          <w:sz w:val="30"/>
          <w:szCs w:val="30"/>
        </w:rPr>
      </w:pPr>
      <w:r w:rsidRPr="007C2CDD">
        <w:rPr>
          <w:rFonts w:ascii="仿宋_GB2312" w:eastAsia="仿宋_GB2312" w:hint="eastAsia"/>
          <w:sz w:val="30"/>
          <w:szCs w:val="30"/>
        </w:rPr>
        <w:t>常熟法院一审</w:t>
      </w:r>
      <w:r>
        <w:rPr>
          <w:rFonts w:ascii="仿宋_GB2312" w:eastAsia="仿宋_GB2312" w:hint="eastAsia"/>
          <w:sz w:val="30"/>
          <w:szCs w:val="30"/>
        </w:rPr>
        <w:t>认为</w:t>
      </w:r>
      <w:r w:rsidRPr="007C2CDD">
        <w:rPr>
          <w:rFonts w:ascii="仿宋_GB2312" w:eastAsia="仿宋_GB2312" w:hint="eastAsia"/>
          <w:sz w:val="30"/>
          <w:szCs w:val="30"/>
        </w:rPr>
        <w:t>：</w:t>
      </w:r>
    </w:p>
    <w:p w:rsidR="00D906DC" w:rsidRPr="007C2CDD" w:rsidRDefault="00D906DC" w:rsidP="005F3E79">
      <w:pPr>
        <w:adjustRightInd w:val="0"/>
        <w:snapToGrid w:val="0"/>
        <w:spacing w:line="520" w:lineRule="exact"/>
        <w:ind w:firstLineChars="200" w:firstLine="600"/>
        <w:rPr>
          <w:rFonts w:ascii="仿宋_GB2312" w:eastAsia="仿宋_GB2312"/>
          <w:sz w:val="30"/>
          <w:szCs w:val="30"/>
        </w:rPr>
      </w:pPr>
      <w:r w:rsidRPr="007C2CDD">
        <w:rPr>
          <w:rFonts w:ascii="仿宋_GB2312" w:eastAsia="仿宋_GB2312" w:hint="eastAsia"/>
          <w:sz w:val="30"/>
          <w:szCs w:val="30"/>
        </w:rPr>
        <w:t>被告人</w:t>
      </w:r>
      <w:r>
        <w:rPr>
          <w:rFonts w:ascii="仿宋_GB2312" w:eastAsia="仿宋_GB2312" w:hint="eastAsia"/>
          <w:sz w:val="30"/>
          <w:szCs w:val="30"/>
        </w:rPr>
        <w:t>林某</w:t>
      </w:r>
      <w:r w:rsidRPr="007C2CDD">
        <w:rPr>
          <w:rFonts w:ascii="仿宋_GB2312" w:eastAsia="仿宋_GB2312" w:hint="eastAsia"/>
          <w:sz w:val="30"/>
          <w:szCs w:val="30"/>
        </w:rPr>
        <w:t>、</w:t>
      </w:r>
      <w:r>
        <w:rPr>
          <w:rFonts w:ascii="仿宋_GB2312" w:eastAsia="仿宋_GB2312" w:hint="eastAsia"/>
          <w:sz w:val="30"/>
          <w:szCs w:val="30"/>
        </w:rPr>
        <w:t>沈某娟</w:t>
      </w:r>
      <w:r w:rsidRPr="007C2CDD">
        <w:rPr>
          <w:rFonts w:ascii="仿宋_GB2312" w:eastAsia="仿宋_GB2312" w:hint="eastAsia"/>
          <w:sz w:val="30"/>
          <w:szCs w:val="30"/>
        </w:rPr>
        <w:t>、</w:t>
      </w:r>
      <w:r>
        <w:rPr>
          <w:rFonts w:ascii="仿宋_GB2312" w:eastAsia="仿宋_GB2312" w:hint="eastAsia"/>
          <w:sz w:val="30"/>
          <w:szCs w:val="30"/>
        </w:rPr>
        <w:t>沈某康</w:t>
      </w:r>
      <w:r w:rsidRPr="007C2CDD">
        <w:rPr>
          <w:rFonts w:ascii="仿宋_GB2312" w:eastAsia="仿宋_GB2312" w:hint="eastAsia"/>
          <w:sz w:val="30"/>
          <w:szCs w:val="30"/>
        </w:rPr>
        <w:t>、</w:t>
      </w:r>
      <w:r>
        <w:rPr>
          <w:rFonts w:ascii="仿宋_GB2312" w:eastAsia="仿宋_GB2312" w:hint="eastAsia"/>
          <w:sz w:val="30"/>
          <w:szCs w:val="30"/>
        </w:rPr>
        <w:t>余某</w:t>
      </w:r>
      <w:r w:rsidRPr="007C2CDD">
        <w:rPr>
          <w:rFonts w:ascii="仿宋_GB2312" w:eastAsia="仿宋_GB2312" w:hint="eastAsia"/>
          <w:sz w:val="30"/>
          <w:szCs w:val="30"/>
        </w:rPr>
        <w:t>未经注册商标所有人许可，在同一种商品上使用与其注册商标相同的商标，非法经营数额达人民币</w:t>
      </w:r>
      <w:r w:rsidRPr="007C2CDD">
        <w:rPr>
          <w:rFonts w:ascii="仿宋_GB2312" w:eastAsia="仿宋_GB2312"/>
          <w:sz w:val="30"/>
          <w:szCs w:val="30"/>
        </w:rPr>
        <w:t>1115000</w:t>
      </w:r>
      <w:r w:rsidRPr="007C2CDD">
        <w:rPr>
          <w:rFonts w:ascii="仿宋_GB2312" w:eastAsia="仿宋_GB2312" w:hint="eastAsia"/>
          <w:sz w:val="30"/>
          <w:szCs w:val="30"/>
        </w:rPr>
        <w:t>元，情节特别严重，其行为均构成假冒注册商标罪，均应依法予以惩处。被告人</w:t>
      </w:r>
      <w:r>
        <w:rPr>
          <w:rFonts w:ascii="仿宋_GB2312" w:eastAsia="仿宋_GB2312" w:hint="eastAsia"/>
          <w:sz w:val="30"/>
          <w:szCs w:val="30"/>
        </w:rPr>
        <w:t>沈某娟</w:t>
      </w:r>
      <w:r w:rsidRPr="007C2CDD">
        <w:rPr>
          <w:rFonts w:ascii="仿宋_GB2312" w:eastAsia="仿宋_GB2312" w:hint="eastAsia"/>
          <w:sz w:val="30"/>
          <w:szCs w:val="30"/>
        </w:rPr>
        <w:t>利用职务上的便利，将本单位的财物非法占为己有，数额较大，其行为构成职务侵占罪，应依法予以惩处。被告人</w:t>
      </w:r>
      <w:r>
        <w:rPr>
          <w:rFonts w:ascii="仿宋_GB2312" w:eastAsia="仿宋_GB2312" w:hint="eastAsia"/>
          <w:sz w:val="30"/>
          <w:szCs w:val="30"/>
        </w:rPr>
        <w:t>沈某娟</w:t>
      </w:r>
      <w:r w:rsidRPr="007C2CDD">
        <w:rPr>
          <w:rFonts w:ascii="仿宋_GB2312" w:eastAsia="仿宋_GB2312" w:hint="eastAsia"/>
          <w:sz w:val="30"/>
          <w:szCs w:val="30"/>
        </w:rPr>
        <w:t>在判决宣告前犯数罪，依法应数罪并罚。在假冒注册商标的共同犯罪中，被告人</w:t>
      </w:r>
      <w:r>
        <w:rPr>
          <w:rFonts w:ascii="仿宋_GB2312" w:eastAsia="仿宋_GB2312" w:hint="eastAsia"/>
          <w:sz w:val="30"/>
          <w:szCs w:val="30"/>
        </w:rPr>
        <w:t>林某</w:t>
      </w:r>
      <w:r w:rsidRPr="007C2CDD">
        <w:rPr>
          <w:rFonts w:ascii="仿宋_GB2312" w:eastAsia="仿宋_GB2312" w:hint="eastAsia"/>
          <w:sz w:val="30"/>
          <w:szCs w:val="30"/>
        </w:rPr>
        <w:t>、</w:t>
      </w:r>
      <w:r>
        <w:rPr>
          <w:rFonts w:ascii="仿宋_GB2312" w:eastAsia="仿宋_GB2312" w:hint="eastAsia"/>
          <w:sz w:val="30"/>
          <w:szCs w:val="30"/>
        </w:rPr>
        <w:t>沈某娟</w:t>
      </w:r>
      <w:r w:rsidRPr="007C2CDD">
        <w:rPr>
          <w:rFonts w:ascii="仿宋_GB2312" w:eastAsia="仿宋_GB2312" w:hint="eastAsia"/>
          <w:sz w:val="30"/>
          <w:szCs w:val="30"/>
        </w:rPr>
        <w:t>、</w:t>
      </w:r>
      <w:r>
        <w:rPr>
          <w:rFonts w:ascii="仿宋_GB2312" w:eastAsia="仿宋_GB2312" w:hint="eastAsia"/>
          <w:sz w:val="30"/>
          <w:szCs w:val="30"/>
        </w:rPr>
        <w:t>沈某康</w:t>
      </w:r>
      <w:r w:rsidRPr="007C2CDD">
        <w:rPr>
          <w:rFonts w:ascii="仿宋_GB2312" w:eastAsia="仿宋_GB2312" w:hint="eastAsia"/>
          <w:sz w:val="30"/>
          <w:szCs w:val="30"/>
        </w:rPr>
        <w:t>均起主要作用，均系</w:t>
      </w:r>
      <w:r w:rsidRPr="007C2CDD">
        <w:rPr>
          <w:rFonts w:ascii="仿宋_GB2312" w:eastAsia="仿宋_GB2312" w:hint="eastAsia"/>
          <w:sz w:val="30"/>
          <w:szCs w:val="30"/>
        </w:rPr>
        <w:lastRenderedPageBreak/>
        <w:t>主犯，均应按照其所参加的全部犯罪处罚；被告人</w:t>
      </w:r>
      <w:r>
        <w:rPr>
          <w:rFonts w:ascii="仿宋_GB2312" w:eastAsia="仿宋_GB2312" w:hint="eastAsia"/>
          <w:sz w:val="30"/>
          <w:szCs w:val="30"/>
        </w:rPr>
        <w:t>余某</w:t>
      </w:r>
      <w:r w:rsidRPr="007C2CDD">
        <w:rPr>
          <w:rFonts w:ascii="仿宋_GB2312" w:eastAsia="仿宋_GB2312" w:hint="eastAsia"/>
          <w:sz w:val="30"/>
          <w:szCs w:val="30"/>
        </w:rPr>
        <w:t>起次要作用，系从犯，应当减轻处罚。被告人</w:t>
      </w:r>
      <w:r>
        <w:rPr>
          <w:rFonts w:ascii="仿宋_GB2312" w:eastAsia="仿宋_GB2312" w:hint="eastAsia"/>
          <w:sz w:val="30"/>
          <w:szCs w:val="30"/>
        </w:rPr>
        <w:t>沈某康</w:t>
      </w:r>
      <w:r w:rsidRPr="007C2CDD">
        <w:rPr>
          <w:rFonts w:ascii="仿宋_GB2312" w:eastAsia="仿宋_GB2312" w:hint="eastAsia"/>
          <w:sz w:val="30"/>
          <w:szCs w:val="30"/>
        </w:rPr>
        <w:t>主动投案并如实供述自己的罪行，系自首，可以从轻处罚。被告人</w:t>
      </w:r>
      <w:r>
        <w:rPr>
          <w:rFonts w:ascii="仿宋_GB2312" w:eastAsia="仿宋_GB2312" w:hint="eastAsia"/>
          <w:sz w:val="30"/>
          <w:szCs w:val="30"/>
        </w:rPr>
        <w:t>沈某娟</w:t>
      </w:r>
      <w:r w:rsidRPr="007C2CDD">
        <w:rPr>
          <w:rFonts w:ascii="仿宋_GB2312" w:eastAsia="仿宋_GB2312" w:hint="eastAsia"/>
          <w:sz w:val="30"/>
          <w:szCs w:val="30"/>
        </w:rPr>
        <w:t>、</w:t>
      </w:r>
      <w:r>
        <w:rPr>
          <w:rFonts w:ascii="仿宋_GB2312" w:eastAsia="仿宋_GB2312" w:hint="eastAsia"/>
          <w:sz w:val="30"/>
          <w:szCs w:val="30"/>
        </w:rPr>
        <w:t>余某</w:t>
      </w:r>
      <w:r w:rsidRPr="007C2CDD">
        <w:rPr>
          <w:rFonts w:ascii="仿宋_GB2312" w:eastAsia="仿宋_GB2312" w:hint="eastAsia"/>
          <w:sz w:val="30"/>
          <w:szCs w:val="30"/>
        </w:rPr>
        <w:t>到案后如实供述自己的罪行，系坦白，可以从轻处罚。公诉机关指控被告人</w:t>
      </w:r>
      <w:r>
        <w:rPr>
          <w:rFonts w:ascii="仿宋_GB2312" w:eastAsia="仿宋_GB2312" w:hint="eastAsia"/>
          <w:sz w:val="30"/>
          <w:szCs w:val="30"/>
        </w:rPr>
        <w:t>林某</w:t>
      </w:r>
      <w:r w:rsidRPr="007C2CDD">
        <w:rPr>
          <w:rFonts w:ascii="仿宋_GB2312" w:eastAsia="仿宋_GB2312" w:hint="eastAsia"/>
          <w:sz w:val="30"/>
          <w:szCs w:val="30"/>
        </w:rPr>
        <w:t>、</w:t>
      </w:r>
      <w:r>
        <w:rPr>
          <w:rFonts w:ascii="仿宋_GB2312" w:eastAsia="仿宋_GB2312" w:hint="eastAsia"/>
          <w:sz w:val="30"/>
          <w:szCs w:val="30"/>
        </w:rPr>
        <w:t>沈某娟</w:t>
      </w:r>
      <w:r w:rsidRPr="007C2CDD">
        <w:rPr>
          <w:rFonts w:ascii="仿宋_GB2312" w:eastAsia="仿宋_GB2312" w:hint="eastAsia"/>
          <w:sz w:val="30"/>
          <w:szCs w:val="30"/>
        </w:rPr>
        <w:t>、</w:t>
      </w:r>
      <w:r>
        <w:rPr>
          <w:rFonts w:ascii="仿宋_GB2312" w:eastAsia="仿宋_GB2312" w:hint="eastAsia"/>
          <w:sz w:val="30"/>
          <w:szCs w:val="30"/>
        </w:rPr>
        <w:t>沈某康</w:t>
      </w:r>
      <w:r w:rsidRPr="007C2CDD">
        <w:rPr>
          <w:rFonts w:ascii="仿宋_GB2312" w:eastAsia="仿宋_GB2312" w:hint="eastAsia"/>
          <w:sz w:val="30"/>
          <w:szCs w:val="30"/>
        </w:rPr>
        <w:t>、</w:t>
      </w:r>
      <w:r>
        <w:rPr>
          <w:rFonts w:ascii="仿宋_GB2312" w:eastAsia="仿宋_GB2312" w:hint="eastAsia"/>
          <w:sz w:val="30"/>
          <w:szCs w:val="30"/>
        </w:rPr>
        <w:t>余某</w:t>
      </w:r>
      <w:r w:rsidRPr="007C2CDD">
        <w:rPr>
          <w:rFonts w:ascii="仿宋_GB2312" w:eastAsia="仿宋_GB2312" w:hint="eastAsia"/>
          <w:sz w:val="30"/>
          <w:szCs w:val="30"/>
        </w:rPr>
        <w:t>犯假冒注册商标</w:t>
      </w:r>
      <w:r>
        <w:rPr>
          <w:rFonts w:ascii="仿宋_GB2312" w:eastAsia="仿宋_GB2312" w:hint="eastAsia"/>
          <w:sz w:val="30"/>
          <w:szCs w:val="30"/>
        </w:rPr>
        <w:t>罪</w:t>
      </w:r>
      <w:r w:rsidRPr="007C2CDD">
        <w:rPr>
          <w:rFonts w:ascii="仿宋_GB2312" w:eastAsia="仿宋_GB2312" w:hint="eastAsia"/>
          <w:sz w:val="30"/>
          <w:szCs w:val="30"/>
        </w:rPr>
        <w:t>的犯罪事实清楚，证据确实、充分，指控的罪名正确，提请的相关量刑情节成立，予以采纳。对于被告人</w:t>
      </w:r>
      <w:r>
        <w:rPr>
          <w:rFonts w:ascii="仿宋_GB2312" w:eastAsia="仿宋_GB2312" w:hint="eastAsia"/>
          <w:sz w:val="30"/>
          <w:szCs w:val="30"/>
        </w:rPr>
        <w:t>沈某娟</w:t>
      </w:r>
      <w:r w:rsidRPr="007C2CDD">
        <w:rPr>
          <w:rFonts w:ascii="仿宋_GB2312" w:eastAsia="仿宋_GB2312" w:hint="eastAsia"/>
          <w:sz w:val="30"/>
          <w:szCs w:val="30"/>
        </w:rPr>
        <w:t>的辩护人提出的被告人</w:t>
      </w:r>
      <w:r>
        <w:rPr>
          <w:rFonts w:ascii="仿宋_GB2312" w:eastAsia="仿宋_GB2312" w:hint="eastAsia"/>
          <w:sz w:val="30"/>
          <w:szCs w:val="30"/>
        </w:rPr>
        <w:t>沈某娟</w:t>
      </w:r>
      <w:r w:rsidRPr="007C2CDD">
        <w:rPr>
          <w:rFonts w:ascii="仿宋_GB2312" w:eastAsia="仿宋_GB2312" w:hint="eastAsia"/>
          <w:sz w:val="30"/>
          <w:szCs w:val="30"/>
        </w:rPr>
        <w:t>系初犯、到案后如实供述、主动赔偿被害人全部经济损失并取得谅解、主动缴纳罚金并已退赔职务侵占的财物、有悔罪表现的辩护意见，被告人</w:t>
      </w:r>
      <w:r>
        <w:rPr>
          <w:rFonts w:ascii="仿宋_GB2312" w:eastAsia="仿宋_GB2312" w:hint="eastAsia"/>
          <w:sz w:val="30"/>
          <w:szCs w:val="30"/>
        </w:rPr>
        <w:t>沈某康</w:t>
      </w:r>
      <w:r w:rsidRPr="007C2CDD">
        <w:rPr>
          <w:rFonts w:ascii="仿宋_GB2312" w:eastAsia="仿宋_GB2312" w:hint="eastAsia"/>
          <w:sz w:val="30"/>
          <w:szCs w:val="30"/>
        </w:rPr>
        <w:t>的辩护人提出的被告人</w:t>
      </w:r>
      <w:r>
        <w:rPr>
          <w:rFonts w:ascii="仿宋_GB2312" w:eastAsia="仿宋_GB2312" w:hint="eastAsia"/>
          <w:sz w:val="30"/>
          <w:szCs w:val="30"/>
        </w:rPr>
        <w:t>沈某康</w:t>
      </w:r>
      <w:r w:rsidRPr="007C2CDD">
        <w:rPr>
          <w:rFonts w:ascii="仿宋_GB2312" w:eastAsia="仿宋_GB2312" w:hint="eastAsia"/>
          <w:sz w:val="30"/>
          <w:szCs w:val="30"/>
        </w:rPr>
        <w:t>系初犯、自首以及主动缴纳部分罚金、有悔罪表现的辩护意见，以及被告人</w:t>
      </w:r>
      <w:r>
        <w:rPr>
          <w:rFonts w:ascii="仿宋_GB2312" w:eastAsia="仿宋_GB2312" w:hint="eastAsia"/>
          <w:sz w:val="30"/>
          <w:szCs w:val="30"/>
        </w:rPr>
        <w:t>余某</w:t>
      </w:r>
      <w:r w:rsidRPr="007C2CDD">
        <w:rPr>
          <w:rFonts w:ascii="仿宋_GB2312" w:eastAsia="仿宋_GB2312" w:hint="eastAsia"/>
          <w:sz w:val="30"/>
          <w:szCs w:val="30"/>
        </w:rPr>
        <w:t>的辩护人提出的被告人</w:t>
      </w:r>
      <w:r>
        <w:rPr>
          <w:rFonts w:ascii="仿宋_GB2312" w:eastAsia="仿宋_GB2312" w:hint="eastAsia"/>
          <w:sz w:val="30"/>
          <w:szCs w:val="30"/>
        </w:rPr>
        <w:t>余某</w:t>
      </w:r>
      <w:r w:rsidRPr="007C2CDD">
        <w:rPr>
          <w:rFonts w:ascii="仿宋_GB2312" w:eastAsia="仿宋_GB2312" w:hint="eastAsia"/>
          <w:sz w:val="30"/>
          <w:szCs w:val="30"/>
        </w:rPr>
        <w:t>系初犯、到案后如实供述以及缴纳部分罚金、有悔罪表现的辩护意见，经查属实，亦予以采纳。</w:t>
      </w:r>
    </w:p>
    <w:p w:rsidR="00D906DC" w:rsidRPr="007C2CDD" w:rsidRDefault="00D906DC" w:rsidP="005F3E79">
      <w:pPr>
        <w:adjustRightInd w:val="0"/>
        <w:snapToGrid w:val="0"/>
        <w:spacing w:line="520" w:lineRule="exact"/>
        <w:ind w:firstLineChars="200" w:firstLine="600"/>
        <w:rPr>
          <w:rFonts w:ascii="仿宋_GB2312" w:eastAsia="仿宋_GB2312"/>
          <w:sz w:val="30"/>
          <w:szCs w:val="30"/>
        </w:rPr>
      </w:pPr>
      <w:r w:rsidRPr="007C2CDD">
        <w:rPr>
          <w:rFonts w:ascii="仿宋_GB2312" w:eastAsia="仿宋_GB2312" w:hint="eastAsia"/>
          <w:sz w:val="30"/>
          <w:szCs w:val="30"/>
        </w:rPr>
        <w:t>据此，一审法院依法判决：一、被告人</w:t>
      </w:r>
      <w:r>
        <w:rPr>
          <w:rFonts w:ascii="仿宋_GB2312" w:eastAsia="仿宋_GB2312" w:hint="eastAsia"/>
          <w:sz w:val="30"/>
          <w:szCs w:val="30"/>
        </w:rPr>
        <w:t>林某</w:t>
      </w:r>
      <w:r w:rsidRPr="007C2CDD">
        <w:rPr>
          <w:rFonts w:ascii="仿宋_GB2312" w:eastAsia="仿宋_GB2312" w:hint="eastAsia"/>
          <w:sz w:val="30"/>
          <w:szCs w:val="30"/>
        </w:rPr>
        <w:t>犯假冒注册商标罪，判处有期徒刑四年六个月，并处罚金人民币三十万元。（刑期从判决执行之日起计算。判决执行以前先行羁押的，羁押一日折抵刑期一日，即自</w:t>
      </w:r>
      <w:r w:rsidRPr="007C2CDD">
        <w:rPr>
          <w:rFonts w:ascii="仿宋_GB2312" w:eastAsia="仿宋_GB2312"/>
          <w:sz w:val="30"/>
          <w:szCs w:val="30"/>
        </w:rPr>
        <w:t>2018</w:t>
      </w:r>
      <w:r w:rsidRPr="007C2CDD">
        <w:rPr>
          <w:rFonts w:ascii="仿宋_GB2312" w:eastAsia="仿宋_GB2312" w:hint="eastAsia"/>
          <w:sz w:val="30"/>
          <w:szCs w:val="30"/>
        </w:rPr>
        <w:t>年</w:t>
      </w:r>
      <w:r w:rsidRPr="007C2CDD">
        <w:rPr>
          <w:rFonts w:ascii="仿宋_GB2312" w:eastAsia="仿宋_GB2312"/>
          <w:sz w:val="30"/>
          <w:szCs w:val="30"/>
        </w:rPr>
        <w:t>3</w:t>
      </w:r>
      <w:r w:rsidRPr="007C2CDD">
        <w:rPr>
          <w:rFonts w:ascii="仿宋_GB2312" w:eastAsia="仿宋_GB2312" w:hint="eastAsia"/>
          <w:sz w:val="30"/>
          <w:szCs w:val="30"/>
        </w:rPr>
        <w:t>月</w:t>
      </w:r>
      <w:r w:rsidRPr="007C2CDD">
        <w:rPr>
          <w:rFonts w:ascii="仿宋_GB2312" w:eastAsia="仿宋_GB2312"/>
          <w:sz w:val="30"/>
          <w:szCs w:val="30"/>
        </w:rPr>
        <w:t>20</w:t>
      </w:r>
      <w:r w:rsidRPr="007C2CDD">
        <w:rPr>
          <w:rFonts w:ascii="仿宋_GB2312" w:eastAsia="仿宋_GB2312" w:hint="eastAsia"/>
          <w:sz w:val="30"/>
          <w:szCs w:val="30"/>
        </w:rPr>
        <w:t>日起至</w:t>
      </w:r>
      <w:r w:rsidRPr="007C2CDD">
        <w:rPr>
          <w:rFonts w:ascii="仿宋_GB2312" w:eastAsia="仿宋_GB2312"/>
          <w:sz w:val="30"/>
          <w:szCs w:val="30"/>
        </w:rPr>
        <w:t>2022</w:t>
      </w:r>
      <w:r w:rsidRPr="007C2CDD">
        <w:rPr>
          <w:rFonts w:ascii="仿宋_GB2312" w:eastAsia="仿宋_GB2312" w:hint="eastAsia"/>
          <w:sz w:val="30"/>
          <w:szCs w:val="30"/>
        </w:rPr>
        <w:t>年</w:t>
      </w:r>
      <w:r w:rsidRPr="007C2CDD">
        <w:rPr>
          <w:rFonts w:ascii="仿宋_GB2312" w:eastAsia="仿宋_GB2312"/>
          <w:sz w:val="30"/>
          <w:szCs w:val="30"/>
        </w:rPr>
        <w:t>9</w:t>
      </w:r>
      <w:r w:rsidRPr="007C2CDD">
        <w:rPr>
          <w:rFonts w:ascii="仿宋_GB2312" w:eastAsia="仿宋_GB2312" w:hint="eastAsia"/>
          <w:sz w:val="30"/>
          <w:szCs w:val="30"/>
        </w:rPr>
        <w:t>月</w:t>
      </w:r>
      <w:r w:rsidRPr="007C2CDD">
        <w:rPr>
          <w:rFonts w:ascii="仿宋_GB2312" w:eastAsia="仿宋_GB2312"/>
          <w:sz w:val="30"/>
          <w:szCs w:val="30"/>
        </w:rPr>
        <w:t>19</w:t>
      </w:r>
      <w:r w:rsidRPr="007C2CDD">
        <w:rPr>
          <w:rFonts w:ascii="仿宋_GB2312" w:eastAsia="仿宋_GB2312" w:hint="eastAsia"/>
          <w:sz w:val="30"/>
          <w:szCs w:val="30"/>
        </w:rPr>
        <w:t>日止；罚金于本判决生效后立即缴纳。）二、被告人</w:t>
      </w:r>
      <w:r>
        <w:rPr>
          <w:rFonts w:ascii="仿宋_GB2312" w:eastAsia="仿宋_GB2312" w:hint="eastAsia"/>
          <w:sz w:val="30"/>
          <w:szCs w:val="30"/>
        </w:rPr>
        <w:t>沈某娟</w:t>
      </w:r>
      <w:r w:rsidRPr="007C2CDD">
        <w:rPr>
          <w:rFonts w:ascii="仿宋_GB2312" w:eastAsia="仿宋_GB2312" w:hint="eastAsia"/>
          <w:sz w:val="30"/>
          <w:szCs w:val="30"/>
        </w:rPr>
        <w:t>犯假冒注册商标罪，判处有期徒刑三年三个月，并处罚金人民币三十万元；犯职务侵占罪，判处有期徒刑九个月。数罪并罚，决定执行有期徒刑三年九个月，并处罚金人民币三十万元。（刑期从判决执行之日起计算。判决执行以前先行羁押的，羁押一日折抵刑期一日，即自</w:t>
      </w:r>
      <w:r w:rsidRPr="007C2CDD">
        <w:rPr>
          <w:rFonts w:ascii="仿宋_GB2312" w:eastAsia="仿宋_GB2312"/>
          <w:sz w:val="30"/>
          <w:szCs w:val="30"/>
        </w:rPr>
        <w:t>2018</w:t>
      </w:r>
      <w:r w:rsidRPr="007C2CDD">
        <w:rPr>
          <w:rFonts w:ascii="仿宋_GB2312" w:eastAsia="仿宋_GB2312" w:hint="eastAsia"/>
          <w:sz w:val="30"/>
          <w:szCs w:val="30"/>
        </w:rPr>
        <w:t>年</w:t>
      </w:r>
      <w:r w:rsidRPr="007C2CDD">
        <w:rPr>
          <w:rFonts w:ascii="仿宋_GB2312" w:eastAsia="仿宋_GB2312"/>
          <w:sz w:val="30"/>
          <w:szCs w:val="30"/>
        </w:rPr>
        <w:t>3</w:t>
      </w:r>
      <w:r w:rsidRPr="007C2CDD">
        <w:rPr>
          <w:rFonts w:ascii="仿宋_GB2312" w:eastAsia="仿宋_GB2312" w:hint="eastAsia"/>
          <w:sz w:val="30"/>
          <w:szCs w:val="30"/>
        </w:rPr>
        <w:t>月</w:t>
      </w:r>
      <w:r w:rsidRPr="007C2CDD">
        <w:rPr>
          <w:rFonts w:ascii="仿宋_GB2312" w:eastAsia="仿宋_GB2312"/>
          <w:sz w:val="30"/>
          <w:szCs w:val="30"/>
        </w:rPr>
        <w:t>20</w:t>
      </w:r>
      <w:r w:rsidRPr="007C2CDD">
        <w:rPr>
          <w:rFonts w:ascii="仿宋_GB2312" w:eastAsia="仿宋_GB2312" w:hint="eastAsia"/>
          <w:sz w:val="30"/>
          <w:szCs w:val="30"/>
        </w:rPr>
        <w:t>日起至</w:t>
      </w:r>
      <w:r w:rsidRPr="007C2CDD">
        <w:rPr>
          <w:rFonts w:ascii="仿宋_GB2312" w:eastAsia="仿宋_GB2312"/>
          <w:sz w:val="30"/>
          <w:szCs w:val="30"/>
        </w:rPr>
        <w:t>2021</w:t>
      </w:r>
      <w:r w:rsidRPr="007C2CDD">
        <w:rPr>
          <w:rFonts w:ascii="仿宋_GB2312" w:eastAsia="仿宋_GB2312" w:hint="eastAsia"/>
          <w:sz w:val="30"/>
          <w:szCs w:val="30"/>
        </w:rPr>
        <w:t>年</w:t>
      </w:r>
      <w:r w:rsidRPr="007C2CDD">
        <w:rPr>
          <w:rFonts w:ascii="仿宋_GB2312" w:eastAsia="仿宋_GB2312"/>
          <w:sz w:val="30"/>
          <w:szCs w:val="30"/>
        </w:rPr>
        <w:t>12</w:t>
      </w:r>
      <w:r w:rsidRPr="007C2CDD">
        <w:rPr>
          <w:rFonts w:ascii="仿宋_GB2312" w:eastAsia="仿宋_GB2312" w:hint="eastAsia"/>
          <w:sz w:val="30"/>
          <w:szCs w:val="30"/>
        </w:rPr>
        <w:t>月</w:t>
      </w:r>
      <w:r w:rsidRPr="007C2CDD">
        <w:rPr>
          <w:rFonts w:ascii="仿宋_GB2312" w:eastAsia="仿宋_GB2312"/>
          <w:sz w:val="30"/>
          <w:szCs w:val="30"/>
        </w:rPr>
        <w:t>19</w:t>
      </w:r>
      <w:r w:rsidRPr="007C2CDD">
        <w:rPr>
          <w:rFonts w:ascii="仿宋_GB2312" w:eastAsia="仿宋_GB2312" w:hint="eastAsia"/>
          <w:sz w:val="30"/>
          <w:szCs w:val="30"/>
        </w:rPr>
        <w:t>日止；罚金已缴纳。）三、被告人</w:t>
      </w:r>
      <w:r>
        <w:rPr>
          <w:rFonts w:ascii="仿宋_GB2312" w:eastAsia="仿宋_GB2312" w:hint="eastAsia"/>
          <w:sz w:val="30"/>
          <w:szCs w:val="30"/>
        </w:rPr>
        <w:t>沈某康</w:t>
      </w:r>
      <w:r w:rsidRPr="007C2CDD">
        <w:rPr>
          <w:rFonts w:ascii="仿宋_GB2312" w:eastAsia="仿宋_GB2312" w:hint="eastAsia"/>
          <w:sz w:val="30"/>
          <w:szCs w:val="30"/>
        </w:rPr>
        <w:t>犯假冒注册商标罪，判处有期徒刑三年四个月，并处罚金人民币三十万元。（刑期从判决执行之日起</w:t>
      </w:r>
      <w:r w:rsidRPr="007C2CDD">
        <w:rPr>
          <w:rFonts w:ascii="仿宋_GB2312" w:eastAsia="仿宋_GB2312" w:hint="eastAsia"/>
          <w:sz w:val="30"/>
          <w:szCs w:val="30"/>
        </w:rPr>
        <w:lastRenderedPageBreak/>
        <w:t>计算。判决执行以前先行羁押的，羁押一日折抵刑期一日，即自</w:t>
      </w:r>
      <w:r w:rsidRPr="007C2CDD">
        <w:rPr>
          <w:rFonts w:ascii="仿宋_GB2312" w:eastAsia="仿宋_GB2312"/>
          <w:sz w:val="30"/>
          <w:szCs w:val="30"/>
        </w:rPr>
        <w:t>2018</w:t>
      </w:r>
      <w:r w:rsidRPr="007C2CDD">
        <w:rPr>
          <w:rFonts w:ascii="仿宋_GB2312" w:eastAsia="仿宋_GB2312" w:hint="eastAsia"/>
          <w:sz w:val="30"/>
          <w:szCs w:val="30"/>
        </w:rPr>
        <w:t>年</w:t>
      </w:r>
      <w:r w:rsidRPr="007C2CDD">
        <w:rPr>
          <w:rFonts w:ascii="仿宋_GB2312" w:eastAsia="仿宋_GB2312"/>
          <w:sz w:val="30"/>
          <w:szCs w:val="30"/>
        </w:rPr>
        <w:t>3</w:t>
      </w:r>
      <w:r w:rsidRPr="007C2CDD">
        <w:rPr>
          <w:rFonts w:ascii="仿宋_GB2312" w:eastAsia="仿宋_GB2312" w:hint="eastAsia"/>
          <w:sz w:val="30"/>
          <w:szCs w:val="30"/>
        </w:rPr>
        <w:t>月</w:t>
      </w:r>
      <w:r w:rsidRPr="007C2CDD">
        <w:rPr>
          <w:rFonts w:ascii="仿宋_GB2312" w:eastAsia="仿宋_GB2312"/>
          <w:sz w:val="30"/>
          <w:szCs w:val="30"/>
        </w:rPr>
        <w:t>26</w:t>
      </w:r>
      <w:r w:rsidRPr="007C2CDD">
        <w:rPr>
          <w:rFonts w:ascii="仿宋_GB2312" w:eastAsia="仿宋_GB2312" w:hint="eastAsia"/>
          <w:sz w:val="30"/>
          <w:szCs w:val="30"/>
        </w:rPr>
        <w:t>日起至</w:t>
      </w:r>
      <w:r w:rsidRPr="007C2CDD">
        <w:rPr>
          <w:rFonts w:ascii="仿宋_GB2312" w:eastAsia="仿宋_GB2312"/>
          <w:sz w:val="30"/>
          <w:szCs w:val="30"/>
        </w:rPr>
        <w:t>2021</w:t>
      </w:r>
      <w:r w:rsidRPr="007C2CDD">
        <w:rPr>
          <w:rFonts w:ascii="仿宋_GB2312" w:eastAsia="仿宋_GB2312" w:hint="eastAsia"/>
          <w:sz w:val="30"/>
          <w:szCs w:val="30"/>
        </w:rPr>
        <w:t>年</w:t>
      </w:r>
      <w:r w:rsidRPr="007C2CDD">
        <w:rPr>
          <w:rFonts w:ascii="仿宋_GB2312" w:eastAsia="仿宋_GB2312"/>
          <w:sz w:val="30"/>
          <w:szCs w:val="30"/>
        </w:rPr>
        <w:t>7</w:t>
      </w:r>
      <w:r w:rsidRPr="007C2CDD">
        <w:rPr>
          <w:rFonts w:ascii="仿宋_GB2312" w:eastAsia="仿宋_GB2312" w:hint="eastAsia"/>
          <w:sz w:val="30"/>
          <w:szCs w:val="30"/>
        </w:rPr>
        <w:t>月</w:t>
      </w:r>
      <w:r w:rsidRPr="007C2CDD">
        <w:rPr>
          <w:rFonts w:ascii="仿宋_GB2312" w:eastAsia="仿宋_GB2312"/>
          <w:sz w:val="30"/>
          <w:szCs w:val="30"/>
        </w:rPr>
        <w:t>25</w:t>
      </w:r>
      <w:r w:rsidRPr="007C2CDD">
        <w:rPr>
          <w:rFonts w:ascii="仿宋_GB2312" w:eastAsia="仿宋_GB2312" w:hint="eastAsia"/>
          <w:sz w:val="30"/>
          <w:szCs w:val="30"/>
        </w:rPr>
        <w:t>日止；罚金已缴纳人民币十万元，剩余罚金人民币二十万元于本判决生效后立即缴纳。）四、被告人</w:t>
      </w:r>
      <w:r>
        <w:rPr>
          <w:rFonts w:ascii="仿宋_GB2312" w:eastAsia="仿宋_GB2312" w:hint="eastAsia"/>
          <w:sz w:val="30"/>
          <w:szCs w:val="30"/>
        </w:rPr>
        <w:t>余某</w:t>
      </w:r>
      <w:r w:rsidRPr="007C2CDD">
        <w:rPr>
          <w:rFonts w:ascii="仿宋_GB2312" w:eastAsia="仿宋_GB2312" w:hint="eastAsia"/>
          <w:sz w:val="30"/>
          <w:szCs w:val="30"/>
        </w:rPr>
        <w:t>犯假冒注册商标罪，判处有期徒刑二年六个月，并处罚金人民币三十万元。（刑期从判决执行之日起计算。判决执行以前先行羁押的，羁押一日折抵刑期一日，即自</w:t>
      </w:r>
      <w:r w:rsidRPr="007C2CDD">
        <w:rPr>
          <w:rFonts w:ascii="仿宋_GB2312" w:eastAsia="仿宋_GB2312"/>
          <w:sz w:val="30"/>
          <w:szCs w:val="30"/>
        </w:rPr>
        <w:t>2018</w:t>
      </w:r>
      <w:r w:rsidRPr="007C2CDD">
        <w:rPr>
          <w:rFonts w:ascii="仿宋_GB2312" w:eastAsia="仿宋_GB2312" w:hint="eastAsia"/>
          <w:sz w:val="30"/>
          <w:szCs w:val="30"/>
        </w:rPr>
        <w:t>年</w:t>
      </w:r>
      <w:r w:rsidRPr="007C2CDD">
        <w:rPr>
          <w:rFonts w:ascii="仿宋_GB2312" w:eastAsia="仿宋_GB2312"/>
          <w:sz w:val="30"/>
          <w:szCs w:val="30"/>
        </w:rPr>
        <w:t>4</w:t>
      </w:r>
      <w:r w:rsidRPr="007C2CDD">
        <w:rPr>
          <w:rFonts w:ascii="仿宋_GB2312" w:eastAsia="仿宋_GB2312" w:hint="eastAsia"/>
          <w:sz w:val="30"/>
          <w:szCs w:val="30"/>
        </w:rPr>
        <w:t>月</w:t>
      </w:r>
      <w:r w:rsidRPr="007C2CDD">
        <w:rPr>
          <w:rFonts w:ascii="仿宋_GB2312" w:eastAsia="仿宋_GB2312"/>
          <w:sz w:val="30"/>
          <w:szCs w:val="30"/>
        </w:rPr>
        <w:t>10</w:t>
      </w:r>
      <w:r w:rsidRPr="007C2CDD">
        <w:rPr>
          <w:rFonts w:ascii="仿宋_GB2312" w:eastAsia="仿宋_GB2312" w:hint="eastAsia"/>
          <w:sz w:val="30"/>
          <w:szCs w:val="30"/>
        </w:rPr>
        <w:t>日起至</w:t>
      </w:r>
      <w:r w:rsidRPr="007C2CDD">
        <w:rPr>
          <w:rFonts w:ascii="仿宋_GB2312" w:eastAsia="仿宋_GB2312"/>
          <w:sz w:val="30"/>
          <w:szCs w:val="30"/>
        </w:rPr>
        <w:t>2020</w:t>
      </w:r>
      <w:r w:rsidRPr="007C2CDD">
        <w:rPr>
          <w:rFonts w:ascii="仿宋_GB2312" w:eastAsia="仿宋_GB2312" w:hint="eastAsia"/>
          <w:sz w:val="30"/>
          <w:szCs w:val="30"/>
        </w:rPr>
        <w:t>年</w:t>
      </w:r>
      <w:r w:rsidRPr="007C2CDD">
        <w:rPr>
          <w:rFonts w:ascii="仿宋_GB2312" w:eastAsia="仿宋_GB2312"/>
          <w:sz w:val="30"/>
          <w:szCs w:val="30"/>
        </w:rPr>
        <w:t>10</w:t>
      </w:r>
      <w:r w:rsidRPr="007C2CDD">
        <w:rPr>
          <w:rFonts w:ascii="仿宋_GB2312" w:eastAsia="仿宋_GB2312" w:hint="eastAsia"/>
          <w:sz w:val="30"/>
          <w:szCs w:val="30"/>
        </w:rPr>
        <w:t>月</w:t>
      </w:r>
      <w:r w:rsidRPr="007C2CDD">
        <w:rPr>
          <w:rFonts w:ascii="仿宋_GB2312" w:eastAsia="仿宋_GB2312"/>
          <w:sz w:val="30"/>
          <w:szCs w:val="30"/>
        </w:rPr>
        <w:t>9</w:t>
      </w:r>
      <w:r w:rsidRPr="007C2CDD">
        <w:rPr>
          <w:rFonts w:ascii="仿宋_GB2312" w:eastAsia="仿宋_GB2312" w:hint="eastAsia"/>
          <w:sz w:val="30"/>
          <w:szCs w:val="30"/>
        </w:rPr>
        <w:t>日止；罚金已缴纳人民币五万元，剩余罚金人民币二十五万元于本判决生效后立即缴纳。）五、暂扣于常熟市公安局的假冒“波司登”品牌羽绒服一千六百零七件（已扣除作为证物在案的四件）予以没收，依法处理。</w:t>
      </w:r>
    </w:p>
    <w:p w:rsidR="00D906DC" w:rsidRPr="007C2CDD" w:rsidRDefault="00D906DC" w:rsidP="005F3E79">
      <w:pPr>
        <w:adjustRightInd w:val="0"/>
        <w:snapToGrid w:val="0"/>
        <w:spacing w:line="520" w:lineRule="exact"/>
        <w:ind w:firstLineChars="200" w:firstLine="600"/>
        <w:rPr>
          <w:rFonts w:ascii="仿宋_GB2312" w:eastAsia="仿宋_GB2312"/>
          <w:sz w:val="30"/>
          <w:szCs w:val="30"/>
        </w:rPr>
      </w:pPr>
      <w:r w:rsidRPr="007C2CDD">
        <w:rPr>
          <w:rFonts w:ascii="仿宋_GB2312" w:eastAsia="仿宋_GB2312" w:hint="eastAsia"/>
          <w:sz w:val="30"/>
          <w:szCs w:val="30"/>
        </w:rPr>
        <w:t>苏州中院二审认为：</w:t>
      </w:r>
    </w:p>
    <w:p w:rsidR="00D906DC" w:rsidRPr="007C2CDD" w:rsidRDefault="00D906DC" w:rsidP="005F3E79">
      <w:pPr>
        <w:adjustRightInd w:val="0"/>
        <w:snapToGrid w:val="0"/>
        <w:spacing w:line="520" w:lineRule="exact"/>
        <w:ind w:firstLineChars="200" w:firstLine="600"/>
        <w:rPr>
          <w:rFonts w:ascii="仿宋_GB2312" w:eastAsia="仿宋_GB2312"/>
          <w:sz w:val="30"/>
          <w:szCs w:val="30"/>
        </w:rPr>
      </w:pPr>
      <w:r w:rsidRPr="007C2CDD">
        <w:rPr>
          <w:rFonts w:ascii="仿宋_GB2312" w:eastAsia="仿宋_GB2312" w:hint="eastAsia"/>
          <w:sz w:val="30"/>
          <w:szCs w:val="30"/>
        </w:rPr>
        <w:t>在假冒注册商标的共同犯罪中，被告人</w:t>
      </w:r>
      <w:r>
        <w:rPr>
          <w:rFonts w:ascii="仿宋_GB2312" w:eastAsia="仿宋_GB2312" w:hint="eastAsia"/>
          <w:sz w:val="30"/>
          <w:szCs w:val="30"/>
        </w:rPr>
        <w:t>林某</w:t>
      </w:r>
      <w:r w:rsidRPr="007C2CDD">
        <w:rPr>
          <w:rFonts w:ascii="仿宋_GB2312" w:eastAsia="仿宋_GB2312" w:hint="eastAsia"/>
          <w:sz w:val="30"/>
          <w:szCs w:val="30"/>
        </w:rPr>
        <w:t>、</w:t>
      </w:r>
      <w:r>
        <w:rPr>
          <w:rFonts w:ascii="仿宋_GB2312" w:eastAsia="仿宋_GB2312" w:hint="eastAsia"/>
          <w:sz w:val="30"/>
          <w:szCs w:val="30"/>
        </w:rPr>
        <w:t>沈某娟</w:t>
      </w:r>
      <w:r w:rsidRPr="007C2CDD">
        <w:rPr>
          <w:rFonts w:ascii="仿宋_GB2312" w:eastAsia="仿宋_GB2312" w:hint="eastAsia"/>
          <w:sz w:val="30"/>
          <w:szCs w:val="30"/>
        </w:rPr>
        <w:t>、</w:t>
      </w:r>
      <w:r>
        <w:rPr>
          <w:rFonts w:ascii="仿宋_GB2312" w:eastAsia="仿宋_GB2312" w:hint="eastAsia"/>
          <w:sz w:val="30"/>
          <w:szCs w:val="30"/>
        </w:rPr>
        <w:t>沈某康</w:t>
      </w:r>
      <w:r w:rsidRPr="007C2CDD">
        <w:rPr>
          <w:rFonts w:ascii="仿宋_GB2312" w:eastAsia="仿宋_GB2312" w:hint="eastAsia"/>
          <w:sz w:val="30"/>
          <w:szCs w:val="30"/>
        </w:rPr>
        <w:t>均起主要作用，系主犯，应按照其所参加的全部犯罪处罚；被告人</w:t>
      </w:r>
      <w:r>
        <w:rPr>
          <w:rFonts w:ascii="仿宋_GB2312" w:eastAsia="仿宋_GB2312" w:hint="eastAsia"/>
          <w:sz w:val="30"/>
          <w:szCs w:val="30"/>
        </w:rPr>
        <w:t>余某</w:t>
      </w:r>
      <w:r w:rsidRPr="007C2CDD">
        <w:rPr>
          <w:rFonts w:ascii="仿宋_GB2312" w:eastAsia="仿宋_GB2312" w:hint="eastAsia"/>
          <w:sz w:val="30"/>
          <w:szCs w:val="30"/>
        </w:rPr>
        <w:t>起次要作用，系从犯，应当减轻处罚。被告人</w:t>
      </w:r>
      <w:r>
        <w:rPr>
          <w:rFonts w:ascii="仿宋_GB2312" w:eastAsia="仿宋_GB2312" w:hint="eastAsia"/>
          <w:sz w:val="30"/>
          <w:szCs w:val="30"/>
        </w:rPr>
        <w:t>沈某康</w:t>
      </w:r>
      <w:r w:rsidRPr="007C2CDD">
        <w:rPr>
          <w:rFonts w:ascii="仿宋_GB2312" w:eastAsia="仿宋_GB2312" w:hint="eastAsia"/>
          <w:sz w:val="30"/>
          <w:szCs w:val="30"/>
        </w:rPr>
        <w:t>主动投案并如实供述自己的罪行，系自首，可以从轻处罚。被告人</w:t>
      </w:r>
      <w:r>
        <w:rPr>
          <w:rFonts w:ascii="仿宋_GB2312" w:eastAsia="仿宋_GB2312" w:hint="eastAsia"/>
          <w:sz w:val="30"/>
          <w:szCs w:val="30"/>
        </w:rPr>
        <w:t>沈某娟</w:t>
      </w:r>
      <w:r w:rsidRPr="007C2CDD">
        <w:rPr>
          <w:rFonts w:ascii="仿宋_GB2312" w:eastAsia="仿宋_GB2312" w:hint="eastAsia"/>
          <w:sz w:val="30"/>
          <w:szCs w:val="30"/>
        </w:rPr>
        <w:t>、</w:t>
      </w:r>
      <w:r>
        <w:rPr>
          <w:rFonts w:ascii="仿宋_GB2312" w:eastAsia="仿宋_GB2312" w:hint="eastAsia"/>
          <w:sz w:val="30"/>
          <w:szCs w:val="30"/>
        </w:rPr>
        <w:t>余某</w:t>
      </w:r>
      <w:r w:rsidRPr="007C2CDD">
        <w:rPr>
          <w:rFonts w:ascii="仿宋_GB2312" w:eastAsia="仿宋_GB2312" w:hint="eastAsia"/>
          <w:sz w:val="30"/>
          <w:szCs w:val="30"/>
        </w:rPr>
        <w:t>到案后如实供述自己的罪行，系坦白，可以从轻处罚。一审判决认定犯罪事实清楚，证据确实、充分，但对被告人</w:t>
      </w:r>
      <w:r>
        <w:rPr>
          <w:rFonts w:ascii="仿宋_GB2312" w:eastAsia="仿宋_GB2312" w:hint="eastAsia"/>
          <w:sz w:val="30"/>
          <w:szCs w:val="30"/>
        </w:rPr>
        <w:t>余某</w:t>
      </w:r>
      <w:r w:rsidRPr="007C2CDD">
        <w:rPr>
          <w:rFonts w:ascii="仿宋_GB2312" w:eastAsia="仿宋_GB2312" w:hint="eastAsia"/>
          <w:sz w:val="30"/>
          <w:szCs w:val="30"/>
        </w:rPr>
        <w:t>判处与本案主犯相同的</w:t>
      </w:r>
      <w:r w:rsidRPr="007C2CDD">
        <w:rPr>
          <w:rFonts w:ascii="仿宋_GB2312" w:eastAsia="仿宋_GB2312"/>
          <w:sz w:val="30"/>
          <w:szCs w:val="30"/>
        </w:rPr>
        <w:t>30</w:t>
      </w:r>
      <w:r w:rsidRPr="007C2CDD">
        <w:rPr>
          <w:rFonts w:ascii="仿宋_GB2312" w:eastAsia="仿宋_GB2312" w:hint="eastAsia"/>
          <w:sz w:val="30"/>
          <w:szCs w:val="30"/>
        </w:rPr>
        <w:t>万元的罚金刑“有违罪责刑相适应”原则，应予以纠正。</w:t>
      </w:r>
    </w:p>
    <w:p w:rsidR="00D906DC" w:rsidRPr="007C2CDD" w:rsidRDefault="00D906DC" w:rsidP="005F3E79">
      <w:pPr>
        <w:adjustRightInd w:val="0"/>
        <w:snapToGrid w:val="0"/>
        <w:spacing w:line="520" w:lineRule="exact"/>
        <w:ind w:firstLineChars="200" w:firstLine="600"/>
        <w:rPr>
          <w:rFonts w:ascii="仿宋_GB2312" w:eastAsia="仿宋_GB2312"/>
          <w:sz w:val="30"/>
          <w:szCs w:val="30"/>
        </w:rPr>
      </w:pPr>
      <w:r w:rsidRPr="007C2CDD">
        <w:rPr>
          <w:rFonts w:ascii="仿宋_GB2312" w:eastAsia="仿宋_GB2312" w:hint="eastAsia"/>
          <w:sz w:val="30"/>
          <w:szCs w:val="30"/>
        </w:rPr>
        <w:t>二审法院判决：一、维持一审判决第一、二、三、五项；二、撤销一审判决第四项；三、被告人</w:t>
      </w:r>
      <w:r>
        <w:rPr>
          <w:rFonts w:ascii="仿宋_GB2312" w:eastAsia="仿宋_GB2312" w:hint="eastAsia"/>
          <w:sz w:val="30"/>
          <w:szCs w:val="30"/>
        </w:rPr>
        <w:t>余某</w:t>
      </w:r>
      <w:r w:rsidRPr="007C2CDD">
        <w:rPr>
          <w:rFonts w:ascii="仿宋_GB2312" w:eastAsia="仿宋_GB2312" w:hint="eastAsia"/>
          <w:sz w:val="30"/>
          <w:szCs w:val="30"/>
        </w:rPr>
        <w:t>犯假冒注册商标罪，判处有期徒刑二年六个月，并处罚金人民币二十万元。</w:t>
      </w:r>
    </w:p>
    <w:p w:rsidR="00D906DC" w:rsidRPr="00C75269" w:rsidRDefault="00D906DC" w:rsidP="005F3E79">
      <w:pPr>
        <w:adjustRightInd w:val="0"/>
        <w:snapToGrid w:val="0"/>
        <w:spacing w:line="520" w:lineRule="exact"/>
        <w:ind w:firstLineChars="200" w:firstLine="602"/>
        <w:rPr>
          <w:rFonts w:ascii="仿宋_GB2312" w:eastAsia="仿宋_GB2312"/>
          <w:b/>
          <w:bCs/>
          <w:sz w:val="30"/>
          <w:szCs w:val="30"/>
        </w:rPr>
      </w:pPr>
      <w:r w:rsidRPr="00C75269">
        <w:rPr>
          <w:rFonts w:ascii="仿宋_GB2312" w:eastAsia="仿宋_GB2312" w:hint="eastAsia"/>
          <w:b/>
          <w:bCs/>
          <w:sz w:val="30"/>
          <w:szCs w:val="30"/>
        </w:rPr>
        <w:t>【典型意义】</w:t>
      </w:r>
    </w:p>
    <w:p w:rsidR="00D906DC" w:rsidRPr="007C2CDD" w:rsidRDefault="00D906DC" w:rsidP="005F3E79">
      <w:pPr>
        <w:adjustRightInd w:val="0"/>
        <w:snapToGrid w:val="0"/>
        <w:spacing w:line="520" w:lineRule="exact"/>
        <w:ind w:firstLineChars="200" w:firstLine="600"/>
        <w:rPr>
          <w:rFonts w:ascii="仿宋_GB2312" w:eastAsia="仿宋_GB2312"/>
          <w:sz w:val="30"/>
          <w:szCs w:val="30"/>
        </w:rPr>
      </w:pPr>
      <w:r w:rsidRPr="007C2CDD">
        <w:rPr>
          <w:rFonts w:ascii="仿宋_GB2312" w:eastAsia="仿宋_GB2312" w:hint="eastAsia"/>
          <w:sz w:val="30"/>
          <w:szCs w:val="30"/>
        </w:rPr>
        <w:t>本案系假冒注册商标罪的一起典型案例，其特殊性在于企业高级职员在职期间与经销商合谋，内外勾结，分工合作，共同犯罪，制造假冒权利人注册商标的商品，并将假冒产品与正品混杂销售牟利。涉</w:t>
      </w:r>
      <w:r w:rsidRPr="007C2CDD">
        <w:rPr>
          <w:rFonts w:ascii="仿宋_GB2312" w:eastAsia="仿宋_GB2312" w:hint="eastAsia"/>
          <w:sz w:val="30"/>
          <w:szCs w:val="30"/>
        </w:rPr>
        <w:lastRenderedPageBreak/>
        <w:t>案权利人“波司登”系中国乃至国际知名羽绒服品牌。被告人</w:t>
      </w:r>
      <w:r>
        <w:rPr>
          <w:rFonts w:ascii="仿宋_GB2312" w:eastAsia="仿宋_GB2312" w:hint="eastAsia"/>
          <w:sz w:val="30"/>
          <w:szCs w:val="30"/>
        </w:rPr>
        <w:t>沈某娟</w:t>
      </w:r>
      <w:r w:rsidRPr="007C2CDD">
        <w:rPr>
          <w:rFonts w:ascii="仿宋_GB2312" w:eastAsia="仿宋_GB2312" w:hint="eastAsia"/>
          <w:sz w:val="30"/>
          <w:szCs w:val="30"/>
        </w:rPr>
        <w:t>原系波司登公司羽绒服产品中心设计总监，掌握“波司登”羽绒服的最新款式及面辅料参数等涉密信息。被告人</w:t>
      </w:r>
      <w:r>
        <w:rPr>
          <w:rFonts w:ascii="仿宋_GB2312" w:eastAsia="仿宋_GB2312" w:hint="eastAsia"/>
          <w:sz w:val="30"/>
          <w:szCs w:val="30"/>
        </w:rPr>
        <w:t>林某</w:t>
      </w:r>
      <w:r w:rsidRPr="007C2CDD">
        <w:rPr>
          <w:rFonts w:ascii="仿宋_GB2312" w:eastAsia="仿宋_GB2312" w:hint="eastAsia"/>
          <w:sz w:val="30"/>
          <w:szCs w:val="30"/>
        </w:rPr>
        <w:t>原系“波司登”品牌羽绒服在辽宁省丹东市的经销商，两被告人分别掌握正品“波司登”羽绒服的生产与销售渠道，却通过制造假冒“波司登”商标的羽绒服并掺杂在正品中销售</w:t>
      </w:r>
      <w:r>
        <w:rPr>
          <w:rFonts w:ascii="仿宋_GB2312" w:eastAsia="仿宋_GB2312" w:hint="eastAsia"/>
          <w:sz w:val="30"/>
          <w:szCs w:val="30"/>
        </w:rPr>
        <w:t>，</w:t>
      </w:r>
      <w:r w:rsidRPr="007C2CDD">
        <w:rPr>
          <w:rFonts w:ascii="仿宋_GB2312" w:eastAsia="仿宋_GB2312" w:hint="eastAsia"/>
          <w:sz w:val="30"/>
          <w:szCs w:val="30"/>
        </w:rPr>
        <w:t>牟取巨额不正当利益，性质十分恶劣，情节特别严重，具有极大的社会危害性。</w:t>
      </w:r>
    </w:p>
    <w:p w:rsidR="00D906DC" w:rsidRPr="007C2CDD" w:rsidRDefault="00D906DC" w:rsidP="005F3E79">
      <w:pPr>
        <w:adjustRightInd w:val="0"/>
        <w:snapToGrid w:val="0"/>
        <w:spacing w:line="520" w:lineRule="exact"/>
        <w:ind w:firstLineChars="200" w:firstLine="600"/>
        <w:rPr>
          <w:rFonts w:ascii="仿宋_GB2312" w:eastAsia="仿宋_GB2312"/>
          <w:sz w:val="30"/>
          <w:szCs w:val="30"/>
        </w:rPr>
      </w:pPr>
      <w:r w:rsidRPr="007C2CDD">
        <w:rPr>
          <w:rFonts w:ascii="仿宋_GB2312" w:eastAsia="仿宋_GB2312" w:hint="eastAsia"/>
          <w:sz w:val="30"/>
          <w:szCs w:val="30"/>
        </w:rPr>
        <w:t>案件的典型意义在于：</w:t>
      </w:r>
    </w:p>
    <w:p w:rsidR="00D906DC" w:rsidRPr="007C2CDD" w:rsidRDefault="00D906DC" w:rsidP="005F3E79">
      <w:pPr>
        <w:adjustRightInd w:val="0"/>
        <w:snapToGrid w:val="0"/>
        <w:spacing w:line="520" w:lineRule="exact"/>
        <w:ind w:firstLineChars="200" w:firstLine="600"/>
        <w:rPr>
          <w:rFonts w:ascii="仿宋_GB2312" w:eastAsia="仿宋_GB2312"/>
          <w:sz w:val="30"/>
          <w:szCs w:val="30"/>
        </w:rPr>
      </w:pPr>
      <w:r w:rsidRPr="007C2CDD">
        <w:rPr>
          <w:rFonts w:ascii="仿宋_GB2312" w:eastAsia="仿宋_GB2312" w:hint="eastAsia"/>
          <w:sz w:val="30"/>
          <w:szCs w:val="30"/>
        </w:rPr>
        <w:t>一是通过判决严厉打击了企业内部人员与经销商“里应外合”侵害国际知名品牌的行为。掌握特定信息的内部人员侵害本企业知识产权具有较强的隐蔽性和便利性，而掌握企业销售渠道的经销商则可以直接接触企业原有客户，若两者合谋，极易使消费者误认为其所制售的商品系正品，会严重损害企业的商业信誉与经济利益，严重损害消费者利益，严重破坏市场规则和秩序。通过从严惩处本案被告，有力遏制了</w:t>
      </w:r>
      <w:r>
        <w:rPr>
          <w:rFonts w:ascii="仿宋_GB2312" w:eastAsia="仿宋_GB2312" w:hint="eastAsia"/>
          <w:sz w:val="30"/>
          <w:szCs w:val="30"/>
        </w:rPr>
        <w:t>企业“内鬼”</w:t>
      </w:r>
      <w:r w:rsidRPr="007C2CDD">
        <w:rPr>
          <w:rFonts w:ascii="仿宋_GB2312" w:eastAsia="仿宋_GB2312" w:hint="eastAsia"/>
          <w:sz w:val="30"/>
          <w:szCs w:val="30"/>
        </w:rPr>
        <w:t>严重违反商业道德，侵犯企业知识产权的违法犯罪行为，维护了公平有序的竞争秩序，体现了最严格保护知识产权的鲜明态度和坚定决心。</w:t>
      </w:r>
    </w:p>
    <w:p w:rsidR="00D906DC" w:rsidRPr="007C2CDD" w:rsidRDefault="00D906DC" w:rsidP="005F3E79">
      <w:pPr>
        <w:adjustRightInd w:val="0"/>
        <w:snapToGrid w:val="0"/>
        <w:spacing w:line="520" w:lineRule="exact"/>
        <w:ind w:firstLineChars="200" w:firstLine="600"/>
        <w:rPr>
          <w:rFonts w:ascii="仿宋_GB2312" w:eastAsia="仿宋_GB2312"/>
          <w:sz w:val="30"/>
          <w:szCs w:val="30"/>
        </w:rPr>
      </w:pPr>
      <w:r w:rsidRPr="007C2CDD">
        <w:rPr>
          <w:rFonts w:ascii="仿宋_GB2312" w:eastAsia="仿宋_GB2312" w:hint="eastAsia"/>
          <w:sz w:val="30"/>
          <w:szCs w:val="30"/>
        </w:rPr>
        <w:t>二是切实维护民营企业知识产权，保护民族品牌，</w:t>
      </w:r>
      <w:r>
        <w:rPr>
          <w:rFonts w:ascii="仿宋_GB2312" w:eastAsia="仿宋_GB2312" w:hint="eastAsia"/>
          <w:sz w:val="30"/>
          <w:szCs w:val="30"/>
        </w:rPr>
        <w:t>有利于</w:t>
      </w:r>
      <w:r w:rsidRPr="007C2CDD">
        <w:rPr>
          <w:rFonts w:ascii="仿宋_GB2312" w:eastAsia="仿宋_GB2312" w:hint="eastAsia"/>
          <w:sz w:val="30"/>
          <w:szCs w:val="30"/>
        </w:rPr>
        <w:t>营造良好营商环境。本案被害人波司登公司是位于江苏省常熟市的知名民营企业，系全国最大的羽绒服生产商，“波司登”为全国驰名商标、全球知名品牌。各被告人犯假冒注册商标罪，情节特别严重。通过加大知识产权司法保护力度，从严惩治侵害民营企业知识产权的违法犯罪行为，保护了民营企业的合法权益，增强了民营企业培育民族品牌的信心，有利于营造良好的营商环境。</w:t>
      </w:r>
    </w:p>
    <w:p w:rsidR="00D906DC" w:rsidRPr="007C2CDD" w:rsidRDefault="00D906DC" w:rsidP="005F3E79">
      <w:pPr>
        <w:adjustRightInd w:val="0"/>
        <w:snapToGrid w:val="0"/>
        <w:spacing w:line="520" w:lineRule="exact"/>
        <w:ind w:firstLineChars="200" w:firstLine="600"/>
        <w:rPr>
          <w:rFonts w:ascii="仿宋_GB2312" w:eastAsia="仿宋_GB2312"/>
          <w:sz w:val="30"/>
          <w:szCs w:val="30"/>
        </w:rPr>
      </w:pPr>
      <w:r>
        <w:rPr>
          <w:rFonts w:ascii="仿宋_GB2312" w:eastAsia="仿宋_GB2312" w:hint="eastAsia"/>
          <w:sz w:val="30"/>
          <w:szCs w:val="30"/>
        </w:rPr>
        <w:lastRenderedPageBreak/>
        <w:t>三是</w:t>
      </w:r>
      <w:r w:rsidRPr="007C2CDD">
        <w:rPr>
          <w:rFonts w:ascii="仿宋_GB2312" w:eastAsia="仿宋_GB2312" w:hint="eastAsia"/>
          <w:sz w:val="30"/>
          <w:szCs w:val="30"/>
        </w:rPr>
        <w:t>严格按照“罪责刑相适应”原则确定罚金金额。本案一审判</w:t>
      </w:r>
      <w:r>
        <w:rPr>
          <w:rFonts w:ascii="仿宋_GB2312" w:eastAsia="仿宋_GB2312" w:hint="eastAsia"/>
          <w:sz w:val="30"/>
          <w:szCs w:val="30"/>
        </w:rPr>
        <w:t>决对四被告人做出了主从犯的区分认定，却判处数额完全相同的罚金</w:t>
      </w:r>
      <w:r w:rsidRPr="007C2CDD">
        <w:rPr>
          <w:rFonts w:ascii="仿宋_GB2312" w:eastAsia="仿宋_GB2312" w:hint="eastAsia"/>
          <w:sz w:val="30"/>
          <w:szCs w:val="30"/>
        </w:rPr>
        <w:t>。二审法院根据各被告人的犯罪地位、量刑情节、主观恶性、社会危害性、认罪悔罪态度等方面的区别，对从犯</w:t>
      </w:r>
      <w:r>
        <w:rPr>
          <w:rFonts w:ascii="仿宋_GB2312" w:eastAsia="仿宋_GB2312" w:hint="eastAsia"/>
          <w:sz w:val="30"/>
          <w:szCs w:val="30"/>
        </w:rPr>
        <w:t>余某</w:t>
      </w:r>
      <w:r w:rsidRPr="007C2CDD">
        <w:rPr>
          <w:rFonts w:ascii="仿宋_GB2312" w:eastAsia="仿宋_GB2312" w:hint="eastAsia"/>
          <w:sz w:val="30"/>
          <w:szCs w:val="30"/>
        </w:rPr>
        <w:t>的罚金金额依法予以了调整，体现了刑法“罪责刑相适应”原则。</w:t>
      </w:r>
    </w:p>
    <w:p w:rsidR="00D906DC" w:rsidRPr="007C2CDD" w:rsidRDefault="00D906DC" w:rsidP="005F3E79">
      <w:pPr>
        <w:adjustRightInd w:val="0"/>
        <w:snapToGrid w:val="0"/>
        <w:spacing w:line="520" w:lineRule="exact"/>
        <w:ind w:firstLineChars="200" w:firstLine="600"/>
        <w:rPr>
          <w:rFonts w:ascii="仿宋_GB2312" w:eastAsia="仿宋_GB2312"/>
          <w:sz w:val="30"/>
          <w:szCs w:val="30"/>
        </w:rPr>
      </w:pPr>
    </w:p>
    <w:p w:rsidR="00D906DC" w:rsidRPr="00B31006" w:rsidRDefault="00D906DC" w:rsidP="00E711DA">
      <w:pPr>
        <w:pStyle w:val="1"/>
      </w:pPr>
      <w:r>
        <w:br w:type="page"/>
      </w:r>
      <w:bookmarkStart w:id="24" w:name="_Toc38029061"/>
      <w:r>
        <w:lastRenderedPageBreak/>
        <w:t>10.</w:t>
      </w:r>
      <w:r w:rsidRPr="00B31006">
        <w:rPr>
          <w:rFonts w:hint="eastAsia"/>
        </w:rPr>
        <w:t>特许经营的被特许人假冒特许人商标构成假冒注册商标罪</w:t>
      </w:r>
      <w:r>
        <w:rPr>
          <w:rFonts w:hint="eastAsia"/>
        </w:rPr>
        <w:t>案</w:t>
      </w:r>
      <w:bookmarkEnd w:id="24"/>
    </w:p>
    <w:p w:rsidR="00D906DC" w:rsidRPr="00B31006" w:rsidRDefault="00D906DC" w:rsidP="00E711DA">
      <w:pPr>
        <w:pStyle w:val="2"/>
      </w:pPr>
      <w:bookmarkStart w:id="25" w:name="_Toc38029062"/>
      <w:r w:rsidRPr="00753BB1">
        <w:rPr>
          <w:rFonts w:cs="仿宋_GB2312"/>
        </w:rPr>
        <w:t>——</w:t>
      </w:r>
      <w:r w:rsidRPr="00B31006">
        <w:rPr>
          <w:rFonts w:hint="eastAsia"/>
        </w:rPr>
        <w:t>被告人</w:t>
      </w:r>
      <w:r>
        <w:rPr>
          <w:rFonts w:hint="eastAsia"/>
        </w:rPr>
        <w:t>顾某某、张某、凌某某</w:t>
      </w:r>
      <w:r w:rsidRPr="00B31006">
        <w:rPr>
          <w:rFonts w:hint="eastAsia"/>
        </w:rPr>
        <w:t>犯假冒注册商标罪案</w:t>
      </w:r>
      <w:bookmarkEnd w:id="25"/>
    </w:p>
    <w:p w:rsidR="00D906DC" w:rsidRPr="00B31006" w:rsidRDefault="00D906DC" w:rsidP="005F3E79">
      <w:pPr>
        <w:adjustRightInd w:val="0"/>
        <w:snapToGrid w:val="0"/>
        <w:spacing w:line="520" w:lineRule="exact"/>
        <w:ind w:firstLineChars="200" w:firstLine="600"/>
        <w:rPr>
          <w:rFonts w:ascii="仿宋_GB2312" w:eastAsia="仿宋_GB2312"/>
          <w:sz w:val="30"/>
          <w:szCs w:val="30"/>
        </w:rPr>
      </w:pPr>
    </w:p>
    <w:p w:rsidR="00D906DC" w:rsidRPr="00B31006" w:rsidRDefault="00D906DC" w:rsidP="005F3E79">
      <w:pPr>
        <w:adjustRightInd w:val="0"/>
        <w:snapToGrid w:val="0"/>
        <w:spacing w:line="520" w:lineRule="exact"/>
        <w:ind w:firstLineChars="200" w:firstLine="602"/>
        <w:rPr>
          <w:rFonts w:ascii="仿宋_GB2312" w:eastAsia="仿宋_GB2312"/>
          <w:b/>
          <w:bCs/>
          <w:sz w:val="30"/>
          <w:szCs w:val="30"/>
        </w:rPr>
      </w:pPr>
      <w:r w:rsidRPr="00B31006">
        <w:rPr>
          <w:rFonts w:ascii="仿宋_GB2312" w:eastAsia="仿宋_GB2312" w:hint="eastAsia"/>
          <w:b/>
          <w:bCs/>
          <w:sz w:val="30"/>
          <w:szCs w:val="30"/>
        </w:rPr>
        <w:t>【案件信息】</w:t>
      </w:r>
    </w:p>
    <w:p w:rsidR="00D906DC" w:rsidRPr="00B31006" w:rsidRDefault="00D906DC" w:rsidP="005F3E79">
      <w:pPr>
        <w:adjustRightInd w:val="0"/>
        <w:snapToGrid w:val="0"/>
        <w:spacing w:line="520" w:lineRule="exact"/>
        <w:ind w:firstLineChars="200" w:firstLine="600"/>
        <w:rPr>
          <w:rFonts w:ascii="仿宋_GB2312" w:eastAsia="仿宋_GB2312"/>
          <w:sz w:val="30"/>
          <w:szCs w:val="30"/>
        </w:rPr>
      </w:pPr>
      <w:r w:rsidRPr="00B31006">
        <w:rPr>
          <w:rFonts w:ascii="仿宋_GB2312" w:eastAsia="仿宋_GB2312" w:hint="eastAsia"/>
          <w:sz w:val="30"/>
          <w:szCs w:val="30"/>
        </w:rPr>
        <w:t>案号：泰州中院（</w:t>
      </w:r>
      <w:r w:rsidRPr="00B31006">
        <w:rPr>
          <w:rFonts w:ascii="仿宋_GB2312" w:eastAsia="仿宋_GB2312"/>
          <w:sz w:val="30"/>
          <w:szCs w:val="30"/>
        </w:rPr>
        <w:t>2019</w:t>
      </w:r>
      <w:r w:rsidRPr="00B31006">
        <w:rPr>
          <w:rFonts w:ascii="仿宋_GB2312" w:eastAsia="仿宋_GB2312" w:hint="eastAsia"/>
          <w:sz w:val="30"/>
          <w:szCs w:val="30"/>
        </w:rPr>
        <w:t>）苏</w:t>
      </w:r>
      <w:r w:rsidRPr="00B31006">
        <w:rPr>
          <w:rFonts w:ascii="仿宋_GB2312" w:eastAsia="仿宋_GB2312"/>
          <w:sz w:val="30"/>
          <w:szCs w:val="30"/>
        </w:rPr>
        <w:t>12</w:t>
      </w:r>
      <w:r w:rsidRPr="00B31006">
        <w:rPr>
          <w:rFonts w:ascii="仿宋_GB2312" w:eastAsia="仿宋_GB2312" w:hint="eastAsia"/>
          <w:sz w:val="30"/>
          <w:szCs w:val="30"/>
        </w:rPr>
        <w:t>刑初</w:t>
      </w:r>
      <w:r w:rsidRPr="00B31006">
        <w:rPr>
          <w:rFonts w:ascii="仿宋_GB2312" w:eastAsia="仿宋_GB2312"/>
          <w:sz w:val="30"/>
          <w:szCs w:val="30"/>
        </w:rPr>
        <w:t>34</w:t>
      </w:r>
      <w:r w:rsidRPr="00B31006">
        <w:rPr>
          <w:rFonts w:ascii="仿宋_GB2312" w:eastAsia="仿宋_GB2312" w:hint="eastAsia"/>
          <w:sz w:val="30"/>
          <w:szCs w:val="30"/>
        </w:rPr>
        <w:t>号</w:t>
      </w:r>
    </w:p>
    <w:p w:rsidR="00D906DC" w:rsidRPr="00B31006" w:rsidRDefault="00D906DC" w:rsidP="005F3E79">
      <w:pPr>
        <w:adjustRightInd w:val="0"/>
        <w:snapToGrid w:val="0"/>
        <w:spacing w:line="520" w:lineRule="exact"/>
        <w:ind w:firstLineChars="200" w:firstLine="600"/>
        <w:rPr>
          <w:rFonts w:ascii="仿宋_GB2312" w:eastAsia="仿宋_GB2312"/>
          <w:sz w:val="30"/>
          <w:szCs w:val="30"/>
        </w:rPr>
      </w:pPr>
      <w:r w:rsidRPr="00B31006">
        <w:rPr>
          <w:rFonts w:ascii="仿宋_GB2312" w:eastAsia="仿宋_GB2312" w:hint="eastAsia"/>
          <w:sz w:val="30"/>
          <w:szCs w:val="30"/>
        </w:rPr>
        <w:t>公诉机关：江苏省泰州市人民检察院</w:t>
      </w:r>
    </w:p>
    <w:p w:rsidR="00D906DC" w:rsidRDefault="00D906DC" w:rsidP="005F3E79">
      <w:pPr>
        <w:adjustRightInd w:val="0"/>
        <w:snapToGrid w:val="0"/>
        <w:spacing w:line="520" w:lineRule="exact"/>
        <w:ind w:firstLineChars="200" w:firstLine="600"/>
        <w:rPr>
          <w:rFonts w:ascii="仿宋_GB2312" w:eastAsia="仿宋_GB2312"/>
          <w:sz w:val="30"/>
          <w:szCs w:val="30"/>
        </w:rPr>
      </w:pPr>
      <w:r w:rsidRPr="00B31006">
        <w:rPr>
          <w:rFonts w:ascii="仿宋_GB2312" w:eastAsia="仿宋_GB2312" w:hint="eastAsia"/>
          <w:sz w:val="30"/>
          <w:szCs w:val="30"/>
        </w:rPr>
        <w:t>被告人</w:t>
      </w:r>
      <w:bookmarkStart w:id="26" w:name="xyrzh"/>
      <w:r w:rsidRPr="00B31006">
        <w:rPr>
          <w:rFonts w:ascii="仿宋_GB2312" w:eastAsia="仿宋_GB2312" w:hint="eastAsia"/>
          <w:sz w:val="30"/>
          <w:szCs w:val="30"/>
        </w:rPr>
        <w:t>：</w:t>
      </w:r>
      <w:r>
        <w:rPr>
          <w:rFonts w:ascii="仿宋_GB2312" w:eastAsia="仿宋_GB2312" w:hint="eastAsia"/>
          <w:sz w:val="30"/>
          <w:szCs w:val="30"/>
        </w:rPr>
        <w:t>顾某某</w:t>
      </w:r>
      <w:bookmarkEnd w:id="26"/>
      <w:r>
        <w:rPr>
          <w:rFonts w:ascii="仿宋_GB2312" w:eastAsia="仿宋_GB2312" w:hint="eastAsia"/>
          <w:sz w:val="30"/>
          <w:szCs w:val="30"/>
        </w:rPr>
        <w:t>、张某、凌某某</w:t>
      </w:r>
    </w:p>
    <w:p w:rsidR="00D906DC" w:rsidRPr="00B31006" w:rsidRDefault="00D906DC" w:rsidP="005F3E79">
      <w:pPr>
        <w:adjustRightInd w:val="0"/>
        <w:snapToGrid w:val="0"/>
        <w:spacing w:line="520" w:lineRule="exact"/>
        <w:ind w:firstLineChars="200" w:firstLine="602"/>
        <w:rPr>
          <w:rFonts w:ascii="仿宋_GB2312" w:eastAsia="仿宋_GB2312"/>
          <w:b/>
          <w:bCs/>
          <w:sz w:val="30"/>
          <w:szCs w:val="30"/>
        </w:rPr>
      </w:pPr>
      <w:r w:rsidRPr="00B31006">
        <w:rPr>
          <w:rFonts w:ascii="仿宋_GB2312" w:eastAsia="仿宋_GB2312" w:hint="eastAsia"/>
          <w:b/>
          <w:bCs/>
          <w:sz w:val="30"/>
          <w:szCs w:val="30"/>
        </w:rPr>
        <w:t>【裁判要旨】</w:t>
      </w:r>
    </w:p>
    <w:p w:rsidR="00D906DC" w:rsidRPr="00B31006" w:rsidRDefault="00D906DC" w:rsidP="005F3E79">
      <w:pPr>
        <w:adjustRightInd w:val="0"/>
        <w:snapToGrid w:val="0"/>
        <w:spacing w:line="520" w:lineRule="exact"/>
        <w:ind w:firstLineChars="200" w:firstLine="600"/>
        <w:rPr>
          <w:rFonts w:ascii="仿宋_GB2312" w:eastAsia="仿宋_GB2312"/>
          <w:sz w:val="30"/>
          <w:szCs w:val="30"/>
        </w:rPr>
      </w:pPr>
      <w:r w:rsidRPr="00B31006">
        <w:rPr>
          <w:rFonts w:ascii="仿宋_GB2312" w:eastAsia="仿宋_GB2312" w:hint="eastAsia"/>
          <w:sz w:val="30"/>
          <w:szCs w:val="30"/>
        </w:rPr>
        <w:t>被特许人未经该商标注册人许可，在同一种商品上使用与权利人注册商标相同的商标，并在专卖店销售，情节特别严重，构成假冒注册商标罪。虽然被告人签订了认罪认罚具结书，但因多名被告人分工合作作案，违法经营数额巨大，且曾因销售假冒该商标权人注册商标的商品受过行政处罚后仍从事相同侵权行为，侵权违法性质十分恶劣，应</w:t>
      </w:r>
      <w:r>
        <w:rPr>
          <w:rFonts w:ascii="仿宋_GB2312" w:eastAsia="仿宋_GB2312" w:hint="eastAsia"/>
          <w:sz w:val="30"/>
          <w:szCs w:val="30"/>
        </w:rPr>
        <w:t>当</w:t>
      </w:r>
      <w:r w:rsidRPr="00B31006">
        <w:rPr>
          <w:rFonts w:ascii="仿宋_GB2312" w:eastAsia="仿宋_GB2312" w:hint="eastAsia"/>
          <w:sz w:val="30"/>
          <w:szCs w:val="30"/>
        </w:rPr>
        <w:t>控制从宽幅度，予以严惩。</w:t>
      </w:r>
    </w:p>
    <w:p w:rsidR="00D906DC" w:rsidRPr="00B31006" w:rsidRDefault="00D906DC" w:rsidP="005F3E79">
      <w:pPr>
        <w:adjustRightInd w:val="0"/>
        <w:snapToGrid w:val="0"/>
        <w:spacing w:line="520" w:lineRule="exact"/>
        <w:ind w:firstLineChars="200" w:firstLine="602"/>
        <w:rPr>
          <w:rFonts w:ascii="仿宋_GB2312" w:eastAsia="仿宋_GB2312"/>
          <w:b/>
          <w:bCs/>
          <w:sz w:val="30"/>
          <w:szCs w:val="30"/>
        </w:rPr>
      </w:pPr>
      <w:r w:rsidRPr="00B31006">
        <w:rPr>
          <w:rFonts w:ascii="仿宋_GB2312" w:eastAsia="仿宋_GB2312" w:hint="eastAsia"/>
          <w:b/>
          <w:bCs/>
          <w:sz w:val="30"/>
          <w:szCs w:val="30"/>
        </w:rPr>
        <w:t>【基本案情】</w:t>
      </w:r>
    </w:p>
    <w:p w:rsidR="00D906DC" w:rsidRPr="00B31006" w:rsidRDefault="00D906DC" w:rsidP="005F3E79">
      <w:pPr>
        <w:adjustRightInd w:val="0"/>
        <w:snapToGrid w:val="0"/>
        <w:spacing w:line="520" w:lineRule="exact"/>
        <w:ind w:firstLineChars="200" w:firstLine="600"/>
        <w:rPr>
          <w:rFonts w:ascii="仿宋_GB2312" w:eastAsia="仿宋_GB2312"/>
          <w:sz w:val="30"/>
          <w:szCs w:val="30"/>
        </w:rPr>
      </w:pPr>
      <w:r>
        <w:rPr>
          <w:rFonts w:ascii="仿宋_GB2312" w:eastAsia="仿宋_GB2312" w:hint="eastAsia"/>
          <w:sz w:val="30"/>
          <w:szCs w:val="30"/>
        </w:rPr>
        <w:t>顾某某</w:t>
      </w:r>
      <w:r w:rsidRPr="00B31006">
        <w:rPr>
          <w:rFonts w:ascii="仿宋_GB2312" w:eastAsia="仿宋_GB2312" w:hint="eastAsia"/>
          <w:sz w:val="30"/>
          <w:szCs w:val="30"/>
        </w:rPr>
        <w:t>曾因销售假冒“才子”服装，于</w:t>
      </w:r>
      <w:r w:rsidRPr="00B31006">
        <w:rPr>
          <w:rFonts w:ascii="仿宋_GB2312" w:eastAsia="仿宋_GB2312"/>
          <w:sz w:val="30"/>
          <w:szCs w:val="30"/>
        </w:rPr>
        <w:t>2015</w:t>
      </w:r>
      <w:r w:rsidRPr="00B31006">
        <w:rPr>
          <w:rFonts w:ascii="仿宋_GB2312" w:eastAsia="仿宋_GB2312" w:hint="eastAsia"/>
          <w:sz w:val="30"/>
          <w:szCs w:val="30"/>
        </w:rPr>
        <w:t>年</w:t>
      </w:r>
      <w:r w:rsidRPr="00B31006">
        <w:rPr>
          <w:rFonts w:ascii="仿宋_GB2312" w:eastAsia="仿宋_GB2312"/>
          <w:sz w:val="30"/>
          <w:szCs w:val="30"/>
        </w:rPr>
        <w:t>4</w:t>
      </w:r>
      <w:r w:rsidRPr="00B31006">
        <w:rPr>
          <w:rFonts w:ascii="仿宋_GB2312" w:eastAsia="仿宋_GB2312" w:hint="eastAsia"/>
          <w:sz w:val="30"/>
          <w:szCs w:val="30"/>
        </w:rPr>
        <w:t>月</w:t>
      </w:r>
      <w:r w:rsidRPr="00B31006">
        <w:rPr>
          <w:rFonts w:ascii="仿宋_GB2312" w:eastAsia="仿宋_GB2312"/>
          <w:sz w:val="30"/>
          <w:szCs w:val="30"/>
        </w:rPr>
        <w:t>7</w:t>
      </w:r>
      <w:r w:rsidRPr="00B31006">
        <w:rPr>
          <w:rFonts w:ascii="仿宋_GB2312" w:eastAsia="仿宋_GB2312" w:hint="eastAsia"/>
          <w:sz w:val="30"/>
          <w:szCs w:val="30"/>
        </w:rPr>
        <w:t>日被兴化市市场监督管理局没收侵权商品，罚款人民币二十万元。</w:t>
      </w:r>
    </w:p>
    <w:p w:rsidR="00D906DC" w:rsidRPr="00B31006" w:rsidRDefault="00D906DC" w:rsidP="005F3E79">
      <w:pPr>
        <w:adjustRightInd w:val="0"/>
        <w:snapToGrid w:val="0"/>
        <w:spacing w:line="520" w:lineRule="exact"/>
        <w:ind w:firstLineChars="200" w:firstLine="600"/>
        <w:rPr>
          <w:rFonts w:ascii="仿宋_GB2312" w:eastAsia="仿宋_GB2312"/>
          <w:sz w:val="30"/>
          <w:szCs w:val="30"/>
        </w:rPr>
      </w:pPr>
      <w:r w:rsidRPr="00025A6F">
        <w:rPr>
          <w:rFonts w:ascii="仿宋_GB2312" w:eastAsia="仿宋_GB2312" w:hint="eastAsia"/>
          <w:sz w:val="30"/>
          <w:szCs w:val="30"/>
        </w:rPr>
        <w:t>福建才子集团公司</w:t>
      </w:r>
      <w:r w:rsidRPr="00B31006">
        <w:rPr>
          <w:rFonts w:ascii="仿宋_GB2312" w:eastAsia="仿宋_GB2312" w:hint="eastAsia"/>
          <w:sz w:val="30"/>
          <w:szCs w:val="30"/>
        </w:rPr>
        <w:t>是“</w:t>
      </w:r>
      <w:r w:rsidR="008E3AEC" w:rsidRPr="008906E9">
        <w:rPr>
          <w:rFonts w:ascii="仿宋_GB2312" w:eastAsia="仿宋_GB2312"/>
          <w:sz w:val="30"/>
          <w:szCs w:val="30"/>
        </w:rPr>
        <w:pict>
          <v:shape id="_x0000_i1053" type="#_x0000_t75" alt="1230707" style="width:40.2pt;height:26.2pt;visibility:visible">
            <v:imagedata r:id="rId26" o:title=""/>
          </v:shape>
        </w:pict>
      </w:r>
      <w:r w:rsidRPr="00B31006">
        <w:rPr>
          <w:rFonts w:ascii="仿宋_GB2312" w:eastAsia="仿宋_GB2312" w:hint="eastAsia"/>
          <w:sz w:val="30"/>
          <w:szCs w:val="30"/>
        </w:rPr>
        <w:t>”注册商标的所有人。该商标经续展有效期至</w:t>
      </w:r>
      <w:r w:rsidRPr="00B31006">
        <w:rPr>
          <w:rFonts w:ascii="仿宋_GB2312" w:eastAsia="仿宋_GB2312"/>
          <w:sz w:val="30"/>
          <w:szCs w:val="30"/>
        </w:rPr>
        <w:t>2028</w:t>
      </w:r>
      <w:r w:rsidRPr="00B31006">
        <w:rPr>
          <w:rFonts w:ascii="仿宋_GB2312" w:eastAsia="仿宋_GB2312" w:hint="eastAsia"/>
          <w:sz w:val="30"/>
          <w:szCs w:val="30"/>
        </w:rPr>
        <w:t>年</w:t>
      </w:r>
      <w:r w:rsidRPr="00B31006">
        <w:rPr>
          <w:rFonts w:ascii="仿宋_GB2312" w:eastAsia="仿宋_GB2312"/>
          <w:sz w:val="30"/>
          <w:szCs w:val="30"/>
        </w:rPr>
        <w:t>12</w:t>
      </w:r>
      <w:r w:rsidRPr="00B31006">
        <w:rPr>
          <w:rFonts w:ascii="仿宋_GB2312" w:eastAsia="仿宋_GB2312" w:hint="eastAsia"/>
          <w:sz w:val="30"/>
          <w:szCs w:val="30"/>
        </w:rPr>
        <w:t>月</w:t>
      </w:r>
      <w:r w:rsidRPr="00B31006">
        <w:rPr>
          <w:rFonts w:ascii="仿宋_GB2312" w:eastAsia="仿宋_GB2312"/>
          <w:sz w:val="30"/>
          <w:szCs w:val="30"/>
        </w:rPr>
        <w:t>13</w:t>
      </w:r>
      <w:r w:rsidRPr="00B31006">
        <w:rPr>
          <w:rFonts w:ascii="仿宋_GB2312" w:eastAsia="仿宋_GB2312" w:hint="eastAsia"/>
          <w:sz w:val="30"/>
          <w:szCs w:val="30"/>
        </w:rPr>
        <w:t>日。核定使用商品（</w:t>
      </w:r>
      <w:r w:rsidRPr="00B31006">
        <w:rPr>
          <w:rFonts w:ascii="仿宋_GB2312" w:eastAsia="仿宋_GB2312"/>
          <w:sz w:val="30"/>
          <w:szCs w:val="30"/>
        </w:rPr>
        <w:t>25</w:t>
      </w:r>
      <w:r w:rsidRPr="00B31006">
        <w:rPr>
          <w:rFonts w:ascii="仿宋_GB2312" w:eastAsia="仿宋_GB2312" w:hint="eastAsia"/>
          <w:sz w:val="30"/>
          <w:szCs w:val="30"/>
        </w:rPr>
        <w:t>类）：衬衫、西服制服、裤子、领带、鞋、服装带、童装、针织品（服装）、袜。</w:t>
      </w:r>
      <w:r w:rsidRPr="00B31006">
        <w:rPr>
          <w:rFonts w:ascii="仿宋_GB2312" w:eastAsia="仿宋_GB2312"/>
          <w:sz w:val="30"/>
          <w:szCs w:val="30"/>
        </w:rPr>
        <w:t>2003</w:t>
      </w:r>
      <w:r w:rsidRPr="00B31006">
        <w:rPr>
          <w:rFonts w:ascii="仿宋_GB2312" w:eastAsia="仿宋_GB2312" w:hint="eastAsia"/>
          <w:sz w:val="30"/>
          <w:szCs w:val="30"/>
        </w:rPr>
        <w:t>年</w:t>
      </w:r>
      <w:r w:rsidRPr="00B31006">
        <w:rPr>
          <w:rFonts w:ascii="仿宋_GB2312" w:eastAsia="仿宋_GB2312"/>
          <w:sz w:val="30"/>
          <w:szCs w:val="30"/>
        </w:rPr>
        <w:t>11</w:t>
      </w:r>
      <w:r w:rsidRPr="00B31006">
        <w:rPr>
          <w:rFonts w:ascii="仿宋_GB2312" w:eastAsia="仿宋_GB2312" w:hint="eastAsia"/>
          <w:sz w:val="30"/>
          <w:szCs w:val="30"/>
        </w:rPr>
        <w:t>月</w:t>
      </w:r>
      <w:r w:rsidRPr="00B31006">
        <w:rPr>
          <w:rFonts w:ascii="仿宋_GB2312" w:eastAsia="仿宋_GB2312"/>
          <w:sz w:val="30"/>
          <w:szCs w:val="30"/>
        </w:rPr>
        <w:t>20</w:t>
      </w:r>
      <w:r w:rsidRPr="00B31006">
        <w:rPr>
          <w:rFonts w:ascii="仿宋_GB2312" w:eastAsia="仿宋_GB2312" w:hint="eastAsia"/>
          <w:sz w:val="30"/>
          <w:szCs w:val="30"/>
        </w:rPr>
        <w:t>日，该商标经</w:t>
      </w:r>
      <w:r w:rsidRPr="00B73A96">
        <w:rPr>
          <w:rFonts w:ascii="仿宋_GB2312" w:eastAsia="仿宋_GB2312" w:hint="eastAsia"/>
          <w:sz w:val="30"/>
          <w:szCs w:val="30"/>
        </w:rPr>
        <w:t>国家工商行政管理总局商标局（以下简称国家商标局）</w:t>
      </w:r>
      <w:r w:rsidRPr="00B31006">
        <w:rPr>
          <w:rFonts w:ascii="仿宋_GB2312" w:eastAsia="仿宋_GB2312" w:hint="eastAsia"/>
          <w:sz w:val="30"/>
          <w:szCs w:val="30"/>
        </w:rPr>
        <w:t>核准转让给福建才子集团有限公司。</w:t>
      </w:r>
      <w:r w:rsidRPr="00B31006">
        <w:rPr>
          <w:rFonts w:ascii="仿宋_GB2312" w:eastAsia="仿宋_GB2312"/>
          <w:sz w:val="30"/>
          <w:szCs w:val="30"/>
        </w:rPr>
        <w:t>2008</w:t>
      </w:r>
      <w:r w:rsidRPr="00B31006">
        <w:rPr>
          <w:rFonts w:ascii="仿宋_GB2312" w:eastAsia="仿宋_GB2312" w:hint="eastAsia"/>
          <w:sz w:val="30"/>
          <w:szCs w:val="30"/>
        </w:rPr>
        <w:t>年</w:t>
      </w:r>
      <w:r w:rsidRPr="00B31006">
        <w:rPr>
          <w:rFonts w:ascii="仿宋_GB2312" w:eastAsia="仿宋_GB2312"/>
          <w:sz w:val="30"/>
          <w:szCs w:val="30"/>
        </w:rPr>
        <w:t>12</w:t>
      </w:r>
      <w:r w:rsidRPr="00B31006">
        <w:rPr>
          <w:rFonts w:ascii="仿宋_GB2312" w:eastAsia="仿宋_GB2312" w:hint="eastAsia"/>
          <w:sz w:val="30"/>
          <w:szCs w:val="30"/>
        </w:rPr>
        <w:t>月</w:t>
      </w:r>
      <w:r w:rsidRPr="00B31006">
        <w:rPr>
          <w:rFonts w:ascii="仿宋_GB2312" w:eastAsia="仿宋_GB2312"/>
          <w:sz w:val="30"/>
          <w:szCs w:val="30"/>
        </w:rPr>
        <w:t>24</w:t>
      </w:r>
      <w:r w:rsidRPr="00B31006">
        <w:rPr>
          <w:rFonts w:ascii="仿宋_GB2312" w:eastAsia="仿宋_GB2312" w:hint="eastAsia"/>
          <w:sz w:val="30"/>
          <w:szCs w:val="30"/>
        </w:rPr>
        <w:t>日，经核准，受让人变更为才子服饰股份有限公司。</w:t>
      </w:r>
    </w:p>
    <w:p w:rsidR="00D906DC" w:rsidRPr="00B31006" w:rsidRDefault="00D906DC" w:rsidP="005F3E79">
      <w:pPr>
        <w:adjustRightInd w:val="0"/>
        <w:snapToGrid w:val="0"/>
        <w:spacing w:line="520" w:lineRule="exact"/>
        <w:ind w:firstLineChars="200" w:firstLine="600"/>
        <w:rPr>
          <w:rFonts w:ascii="仿宋_GB2312" w:eastAsia="仿宋_GB2312"/>
          <w:sz w:val="30"/>
          <w:szCs w:val="30"/>
        </w:rPr>
      </w:pPr>
      <w:r w:rsidRPr="00B31006">
        <w:rPr>
          <w:rFonts w:ascii="仿宋_GB2312" w:eastAsia="仿宋_GB2312"/>
          <w:sz w:val="30"/>
          <w:szCs w:val="30"/>
        </w:rPr>
        <w:t>2015</w:t>
      </w:r>
      <w:r w:rsidRPr="00B31006">
        <w:rPr>
          <w:rFonts w:ascii="仿宋_GB2312" w:eastAsia="仿宋_GB2312" w:hint="eastAsia"/>
          <w:sz w:val="30"/>
          <w:szCs w:val="30"/>
        </w:rPr>
        <w:t>年至</w:t>
      </w:r>
      <w:r w:rsidRPr="00B31006">
        <w:rPr>
          <w:rFonts w:ascii="仿宋_GB2312" w:eastAsia="仿宋_GB2312"/>
          <w:sz w:val="30"/>
          <w:szCs w:val="30"/>
        </w:rPr>
        <w:t>2018</w:t>
      </w:r>
      <w:r w:rsidRPr="00B31006">
        <w:rPr>
          <w:rFonts w:ascii="仿宋_GB2312" w:eastAsia="仿宋_GB2312" w:hint="eastAsia"/>
          <w:sz w:val="30"/>
          <w:szCs w:val="30"/>
        </w:rPr>
        <w:t>年间，被告人</w:t>
      </w:r>
      <w:r>
        <w:rPr>
          <w:rFonts w:ascii="仿宋_GB2312" w:eastAsia="仿宋_GB2312" w:hint="eastAsia"/>
          <w:sz w:val="30"/>
          <w:szCs w:val="30"/>
        </w:rPr>
        <w:t>顾某某</w:t>
      </w:r>
      <w:r w:rsidRPr="00B31006">
        <w:rPr>
          <w:rFonts w:ascii="仿宋_GB2312" w:eastAsia="仿宋_GB2312" w:hint="eastAsia"/>
          <w:sz w:val="30"/>
          <w:szCs w:val="30"/>
        </w:rPr>
        <w:t>、</w:t>
      </w:r>
      <w:r>
        <w:rPr>
          <w:rFonts w:ascii="仿宋_GB2312" w:eastAsia="仿宋_GB2312" w:hint="eastAsia"/>
          <w:sz w:val="30"/>
          <w:szCs w:val="30"/>
        </w:rPr>
        <w:t>张某</w:t>
      </w:r>
      <w:r w:rsidRPr="00B31006">
        <w:rPr>
          <w:rFonts w:ascii="仿宋_GB2312" w:eastAsia="仿宋_GB2312" w:hint="eastAsia"/>
          <w:sz w:val="30"/>
          <w:szCs w:val="30"/>
        </w:rPr>
        <w:t>、</w:t>
      </w:r>
      <w:r>
        <w:rPr>
          <w:rFonts w:ascii="仿宋_GB2312" w:eastAsia="仿宋_GB2312" w:hint="eastAsia"/>
          <w:sz w:val="30"/>
          <w:szCs w:val="30"/>
        </w:rPr>
        <w:t>凌某某</w:t>
      </w:r>
      <w:r w:rsidRPr="00B31006">
        <w:rPr>
          <w:rFonts w:ascii="仿宋_GB2312" w:eastAsia="仿宋_GB2312" w:hint="eastAsia"/>
          <w:sz w:val="30"/>
          <w:szCs w:val="30"/>
        </w:rPr>
        <w:t>等人为牟取</w:t>
      </w:r>
      <w:r w:rsidRPr="00B31006">
        <w:rPr>
          <w:rFonts w:ascii="仿宋_GB2312" w:eastAsia="仿宋_GB2312" w:hint="eastAsia"/>
          <w:sz w:val="30"/>
          <w:szCs w:val="30"/>
        </w:rPr>
        <w:lastRenderedPageBreak/>
        <w:t>非法利益，在未取得注册商标所有权人授权的情况下，被告人</w:t>
      </w:r>
      <w:r>
        <w:rPr>
          <w:rFonts w:ascii="仿宋_GB2312" w:eastAsia="仿宋_GB2312" w:hint="eastAsia"/>
          <w:sz w:val="30"/>
          <w:szCs w:val="30"/>
        </w:rPr>
        <w:t>顾某某</w:t>
      </w:r>
      <w:r w:rsidRPr="00B31006">
        <w:rPr>
          <w:rFonts w:ascii="仿宋_GB2312" w:eastAsia="仿宋_GB2312" w:hint="eastAsia"/>
          <w:sz w:val="30"/>
          <w:szCs w:val="30"/>
        </w:rPr>
        <w:t>伙同被告人</w:t>
      </w:r>
      <w:r>
        <w:rPr>
          <w:rFonts w:ascii="仿宋_GB2312" w:eastAsia="仿宋_GB2312" w:hint="eastAsia"/>
          <w:sz w:val="30"/>
          <w:szCs w:val="30"/>
        </w:rPr>
        <w:t>凌某某</w:t>
      </w:r>
      <w:r w:rsidRPr="00B31006">
        <w:rPr>
          <w:rFonts w:ascii="仿宋_GB2312" w:eastAsia="仿宋_GB2312" w:hint="eastAsia"/>
          <w:sz w:val="30"/>
          <w:szCs w:val="30"/>
        </w:rPr>
        <w:t>到江苏常熟及浙江濮院等地服装市场购买“白胚”服装，通过吴某（另案处理）制造假冒“才子”商标、吊牌等辅料，由被告人</w:t>
      </w:r>
      <w:r>
        <w:rPr>
          <w:rFonts w:ascii="仿宋_GB2312" w:eastAsia="仿宋_GB2312" w:hint="eastAsia"/>
          <w:sz w:val="30"/>
          <w:szCs w:val="30"/>
        </w:rPr>
        <w:t>张某</w:t>
      </w:r>
      <w:r w:rsidRPr="00B31006">
        <w:rPr>
          <w:rFonts w:ascii="仿宋_GB2312" w:eastAsia="仿宋_GB2312" w:hint="eastAsia"/>
          <w:sz w:val="30"/>
          <w:szCs w:val="30"/>
        </w:rPr>
        <w:t>将假冒“才子”商标缝制于“白</w:t>
      </w:r>
      <w:r>
        <w:rPr>
          <w:rFonts w:ascii="仿宋_GB2312" w:eastAsia="仿宋_GB2312" w:hint="eastAsia"/>
          <w:sz w:val="30"/>
          <w:szCs w:val="30"/>
        </w:rPr>
        <w:t>胚</w:t>
      </w:r>
      <w:r w:rsidRPr="00B31006">
        <w:rPr>
          <w:rFonts w:ascii="仿宋_GB2312" w:eastAsia="仿宋_GB2312" w:hint="eastAsia"/>
          <w:sz w:val="30"/>
          <w:szCs w:val="30"/>
        </w:rPr>
        <w:t>”服装，后将假冒服装和吊牌通过物流邮寄给被告人</w:t>
      </w:r>
      <w:r>
        <w:rPr>
          <w:rFonts w:ascii="仿宋_GB2312" w:eastAsia="仿宋_GB2312" w:hint="eastAsia"/>
          <w:sz w:val="30"/>
          <w:szCs w:val="30"/>
        </w:rPr>
        <w:t>顾某某</w:t>
      </w:r>
      <w:r w:rsidRPr="00B31006">
        <w:rPr>
          <w:rFonts w:ascii="仿宋_GB2312" w:eastAsia="仿宋_GB2312" w:hint="eastAsia"/>
          <w:sz w:val="30"/>
          <w:szCs w:val="30"/>
        </w:rPr>
        <w:t>。被告人</w:t>
      </w:r>
      <w:r>
        <w:rPr>
          <w:rFonts w:ascii="仿宋_GB2312" w:eastAsia="仿宋_GB2312" w:hint="eastAsia"/>
          <w:sz w:val="30"/>
          <w:szCs w:val="30"/>
        </w:rPr>
        <w:t>凌某某</w:t>
      </w:r>
      <w:r w:rsidRPr="00B31006">
        <w:rPr>
          <w:rFonts w:ascii="仿宋_GB2312" w:eastAsia="仿宋_GB2312" w:hint="eastAsia"/>
          <w:sz w:val="30"/>
          <w:szCs w:val="30"/>
        </w:rPr>
        <w:t>安排顾某、周某（均另案处理）在其父亲</w:t>
      </w:r>
      <w:r>
        <w:rPr>
          <w:rFonts w:ascii="仿宋_GB2312" w:eastAsia="仿宋_GB2312" w:hint="eastAsia"/>
          <w:sz w:val="30"/>
          <w:szCs w:val="30"/>
        </w:rPr>
        <w:t>凌正海</w:t>
      </w:r>
      <w:r w:rsidRPr="00B31006">
        <w:rPr>
          <w:rFonts w:ascii="仿宋_GB2312" w:eastAsia="仿宋_GB2312" w:hint="eastAsia"/>
          <w:sz w:val="30"/>
          <w:szCs w:val="30"/>
        </w:rPr>
        <w:t>位于兴化市城堡新村</w:t>
      </w:r>
      <w:r w:rsidRPr="00B31006">
        <w:rPr>
          <w:rFonts w:ascii="仿宋_GB2312" w:eastAsia="仿宋_GB2312"/>
          <w:sz w:val="30"/>
          <w:szCs w:val="30"/>
        </w:rPr>
        <w:t>18</w:t>
      </w:r>
      <w:r w:rsidRPr="00B31006">
        <w:rPr>
          <w:rFonts w:ascii="仿宋_GB2312" w:eastAsia="仿宋_GB2312" w:hint="eastAsia"/>
          <w:sz w:val="30"/>
          <w:szCs w:val="30"/>
        </w:rPr>
        <w:t>幢</w:t>
      </w:r>
      <w:r w:rsidRPr="00B31006">
        <w:rPr>
          <w:rFonts w:ascii="仿宋_GB2312" w:eastAsia="仿宋_GB2312"/>
          <w:sz w:val="30"/>
          <w:szCs w:val="30"/>
        </w:rPr>
        <w:t>108</w:t>
      </w:r>
      <w:r w:rsidRPr="00B31006">
        <w:rPr>
          <w:rFonts w:ascii="仿宋_GB2312" w:eastAsia="仿宋_GB2312" w:hint="eastAsia"/>
          <w:sz w:val="30"/>
          <w:szCs w:val="30"/>
        </w:rPr>
        <w:t>室住处挂装吊牌并包装，后将假冒“才子”服装在被告人</w:t>
      </w:r>
      <w:r>
        <w:rPr>
          <w:rFonts w:ascii="仿宋_GB2312" w:eastAsia="仿宋_GB2312" w:hint="eastAsia"/>
          <w:sz w:val="30"/>
          <w:szCs w:val="30"/>
        </w:rPr>
        <w:t>顾某某</w:t>
      </w:r>
      <w:r w:rsidRPr="00B31006">
        <w:rPr>
          <w:rFonts w:ascii="仿宋_GB2312" w:eastAsia="仿宋_GB2312" w:hint="eastAsia"/>
          <w:sz w:val="30"/>
          <w:szCs w:val="30"/>
        </w:rPr>
        <w:t>、</w:t>
      </w:r>
      <w:r>
        <w:rPr>
          <w:rFonts w:ascii="仿宋_GB2312" w:eastAsia="仿宋_GB2312" w:hint="eastAsia"/>
          <w:sz w:val="30"/>
          <w:szCs w:val="30"/>
        </w:rPr>
        <w:t>凌某某</w:t>
      </w:r>
      <w:r w:rsidRPr="00B31006">
        <w:rPr>
          <w:rFonts w:ascii="仿宋_GB2312" w:eastAsia="仿宋_GB2312" w:hint="eastAsia"/>
          <w:sz w:val="30"/>
          <w:szCs w:val="30"/>
        </w:rPr>
        <w:t>共同经营的兴化市英武中路</w:t>
      </w:r>
      <w:r w:rsidRPr="00B31006">
        <w:rPr>
          <w:rFonts w:ascii="仿宋_GB2312" w:eastAsia="仿宋_GB2312"/>
          <w:sz w:val="30"/>
          <w:szCs w:val="30"/>
        </w:rPr>
        <w:t>6-8</w:t>
      </w:r>
      <w:r w:rsidRPr="00B31006">
        <w:rPr>
          <w:rFonts w:ascii="仿宋_GB2312" w:eastAsia="仿宋_GB2312" w:hint="eastAsia"/>
          <w:sz w:val="30"/>
          <w:szCs w:val="30"/>
        </w:rPr>
        <w:t>号、马桥路</w:t>
      </w:r>
      <w:r w:rsidRPr="00B31006">
        <w:rPr>
          <w:rFonts w:ascii="仿宋_GB2312" w:eastAsia="仿宋_GB2312"/>
          <w:sz w:val="30"/>
          <w:szCs w:val="30"/>
        </w:rPr>
        <w:t>25</w:t>
      </w:r>
      <w:r w:rsidRPr="00B31006">
        <w:rPr>
          <w:rFonts w:ascii="仿宋_GB2312" w:eastAsia="仿宋_GB2312" w:hint="eastAsia"/>
          <w:sz w:val="30"/>
          <w:szCs w:val="30"/>
        </w:rPr>
        <w:t>号等才子专卖店销售。</w:t>
      </w:r>
    </w:p>
    <w:p w:rsidR="00D906DC" w:rsidRPr="00B31006" w:rsidRDefault="00D906DC" w:rsidP="005F3E79">
      <w:pPr>
        <w:adjustRightInd w:val="0"/>
        <w:snapToGrid w:val="0"/>
        <w:spacing w:line="520" w:lineRule="exact"/>
        <w:ind w:firstLineChars="200" w:firstLine="600"/>
        <w:rPr>
          <w:rFonts w:ascii="仿宋_GB2312" w:eastAsia="仿宋_GB2312"/>
          <w:sz w:val="30"/>
          <w:szCs w:val="30"/>
        </w:rPr>
      </w:pPr>
      <w:r w:rsidRPr="00B31006">
        <w:rPr>
          <w:rFonts w:ascii="仿宋_GB2312" w:eastAsia="仿宋_GB2312"/>
          <w:sz w:val="30"/>
          <w:szCs w:val="30"/>
        </w:rPr>
        <w:t>2019</w:t>
      </w:r>
      <w:r w:rsidRPr="00B31006">
        <w:rPr>
          <w:rFonts w:ascii="仿宋_GB2312" w:eastAsia="仿宋_GB2312" w:hint="eastAsia"/>
          <w:sz w:val="30"/>
          <w:szCs w:val="30"/>
        </w:rPr>
        <w:t>年</w:t>
      </w:r>
      <w:r w:rsidRPr="00B31006">
        <w:rPr>
          <w:rFonts w:ascii="仿宋_GB2312" w:eastAsia="仿宋_GB2312"/>
          <w:sz w:val="30"/>
          <w:szCs w:val="30"/>
        </w:rPr>
        <w:t>1</w:t>
      </w:r>
      <w:r w:rsidRPr="00B31006">
        <w:rPr>
          <w:rFonts w:ascii="仿宋_GB2312" w:eastAsia="仿宋_GB2312" w:hint="eastAsia"/>
          <w:sz w:val="30"/>
          <w:szCs w:val="30"/>
        </w:rPr>
        <w:t>月至</w:t>
      </w:r>
      <w:r w:rsidRPr="00B31006">
        <w:rPr>
          <w:rFonts w:ascii="仿宋_GB2312" w:eastAsia="仿宋_GB2312"/>
          <w:sz w:val="30"/>
          <w:szCs w:val="30"/>
        </w:rPr>
        <w:t>4</w:t>
      </w:r>
      <w:r w:rsidRPr="00B31006">
        <w:rPr>
          <w:rFonts w:ascii="仿宋_GB2312" w:eastAsia="仿宋_GB2312" w:hint="eastAsia"/>
          <w:sz w:val="30"/>
          <w:szCs w:val="30"/>
        </w:rPr>
        <w:t>月间，公安机关依法分别从被告人</w:t>
      </w:r>
      <w:r>
        <w:rPr>
          <w:rFonts w:ascii="仿宋_GB2312" w:eastAsia="仿宋_GB2312" w:hint="eastAsia"/>
          <w:sz w:val="30"/>
          <w:szCs w:val="30"/>
        </w:rPr>
        <w:t>顾某某</w:t>
      </w:r>
      <w:r w:rsidRPr="00B31006">
        <w:rPr>
          <w:rFonts w:ascii="仿宋_GB2312" w:eastAsia="仿宋_GB2312" w:hint="eastAsia"/>
          <w:sz w:val="30"/>
          <w:szCs w:val="30"/>
        </w:rPr>
        <w:t>、</w:t>
      </w:r>
      <w:r>
        <w:rPr>
          <w:rFonts w:ascii="仿宋_GB2312" w:eastAsia="仿宋_GB2312" w:hint="eastAsia"/>
          <w:sz w:val="30"/>
          <w:szCs w:val="30"/>
        </w:rPr>
        <w:t>凌某某</w:t>
      </w:r>
      <w:r w:rsidRPr="00B31006">
        <w:rPr>
          <w:rFonts w:ascii="仿宋_GB2312" w:eastAsia="仿宋_GB2312" w:hint="eastAsia"/>
          <w:sz w:val="30"/>
          <w:szCs w:val="30"/>
        </w:rPr>
        <w:t>经营的店铺中查获并扣押假冒“才子”服装合计</w:t>
      </w:r>
      <w:r w:rsidRPr="00B31006">
        <w:rPr>
          <w:rFonts w:ascii="仿宋_GB2312" w:eastAsia="仿宋_GB2312"/>
          <w:sz w:val="30"/>
          <w:szCs w:val="30"/>
        </w:rPr>
        <w:t>3949</w:t>
      </w:r>
      <w:r w:rsidRPr="00B31006">
        <w:rPr>
          <w:rFonts w:ascii="仿宋_GB2312" w:eastAsia="仿宋_GB2312" w:hint="eastAsia"/>
          <w:sz w:val="30"/>
          <w:szCs w:val="30"/>
        </w:rPr>
        <w:t>件，上述服装吊牌销售价总计人民币</w:t>
      </w:r>
      <w:r w:rsidRPr="00B31006">
        <w:rPr>
          <w:rFonts w:ascii="仿宋_GB2312" w:eastAsia="仿宋_GB2312"/>
          <w:sz w:val="30"/>
          <w:szCs w:val="30"/>
        </w:rPr>
        <w:t>6578667</w:t>
      </w:r>
      <w:r w:rsidRPr="00B31006">
        <w:rPr>
          <w:rFonts w:ascii="仿宋_GB2312" w:eastAsia="仿宋_GB2312" w:hint="eastAsia"/>
          <w:sz w:val="30"/>
          <w:szCs w:val="30"/>
        </w:rPr>
        <w:t>元。按照被告人</w:t>
      </w:r>
      <w:r>
        <w:rPr>
          <w:rFonts w:ascii="仿宋_GB2312" w:eastAsia="仿宋_GB2312" w:hint="eastAsia"/>
          <w:sz w:val="30"/>
          <w:szCs w:val="30"/>
        </w:rPr>
        <w:t>顾某某</w:t>
      </w:r>
      <w:r w:rsidRPr="00B31006">
        <w:rPr>
          <w:rFonts w:ascii="仿宋_GB2312" w:eastAsia="仿宋_GB2312" w:hint="eastAsia"/>
          <w:sz w:val="30"/>
          <w:szCs w:val="30"/>
        </w:rPr>
        <w:t>从才子服饰股份有限公司的产品批发价计算总计为人民币</w:t>
      </w:r>
      <w:r w:rsidRPr="00B31006">
        <w:rPr>
          <w:rFonts w:ascii="仿宋_GB2312" w:eastAsia="仿宋_GB2312"/>
          <w:sz w:val="30"/>
          <w:szCs w:val="30"/>
        </w:rPr>
        <w:t>2368320.12</w:t>
      </w:r>
      <w:r w:rsidRPr="00B31006">
        <w:rPr>
          <w:rFonts w:ascii="仿宋_GB2312" w:eastAsia="仿宋_GB2312" w:hint="eastAsia"/>
          <w:sz w:val="30"/>
          <w:szCs w:val="30"/>
        </w:rPr>
        <w:t>元。</w:t>
      </w:r>
    </w:p>
    <w:p w:rsidR="00D906DC" w:rsidRPr="00B31006" w:rsidRDefault="00D906DC" w:rsidP="005F3E79">
      <w:pPr>
        <w:adjustRightInd w:val="0"/>
        <w:snapToGrid w:val="0"/>
        <w:spacing w:line="520" w:lineRule="exact"/>
        <w:ind w:firstLineChars="200" w:firstLine="600"/>
        <w:rPr>
          <w:rFonts w:ascii="仿宋_GB2312" w:eastAsia="仿宋_GB2312"/>
          <w:sz w:val="30"/>
          <w:szCs w:val="30"/>
        </w:rPr>
      </w:pPr>
      <w:r w:rsidRPr="00B31006">
        <w:rPr>
          <w:rFonts w:ascii="仿宋_GB2312" w:eastAsia="仿宋_GB2312" w:hint="eastAsia"/>
          <w:sz w:val="30"/>
          <w:szCs w:val="30"/>
        </w:rPr>
        <w:t>被告人</w:t>
      </w:r>
      <w:r>
        <w:rPr>
          <w:rFonts w:ascii="仿宋_GB2312" w:eastAsia="仿宋_GB2312" w:hint="eastAsia"/>
          <w:sz w:val="30"/>
          <w:szCs w:val="30"/>
        </w:rPr>
        <w:t>顾某某</w:t>
      </w:r>
      <w:r w:rsidRPr="00B31006">
        <w:rPr>
          <w:rFonts w:ascii="仿宋_GB2312" w:eastAsia="仿宋_GB2312" w:hint="eastAsia"/>
          <w:sz w:val="30"/>
          <w:szCs w:val="30"/>
        </w:rPr>
        <w:t>、</w:t>
      </w:r>
      <w:r>
        <w:rPr>
          <w:rFonts w:ascii="仿宋_GB2312" w:eastAsia="仿宋_GB2312" w:hint="eastAsia"/>
          <w:sz w:val="30"/>
          <w:szCs w:val="30"/>
        </w:rPr>
        <w:t>张某</w:t>
      </w:r>
      <w:r w:rsidRPr="00B31006">
        <w:rPr>
          <w:rFonts w:ascii="仿宋_GB2312" w:eastAsia="仿宋_GB2312" w:hint="eastAsia"/>
          <w:sz w:val="30"/>
          <w:szCs w:val="30"/>
        </w:rPr>
        <w:t>、</w:t>
      </w:r>
      <w:r>
        <w:rPr>
          <w:rFonts w:ascii="仿宋_GB2312" w:eastAsia="仿宋_GB2312" w:hint="eastAsia"/>
          <w:sz w:val="30"/>
          <w:szCs w:val="30"/>
        </w:rPr>
        <w:t>凌某某</w:t>
      </w:r>
      <w:r w:rsidRPr="00B31006">
        <w:rPr>
          <w:rFonts w:ascii="仿宋_GB2312" w:eastAsia="仿宋_GB2312" w:hint="eastAsia"/>
          <w:sz w:val="30"/>
          <w:szCs w:val="30"/>
        </w:rPr>
        <w:t>被抓获归案后如实供述自己的罪行。</w:t>
      </w:r>
    </w:p>
    <w:p w:rsidR="00D906DC" w:rsidRPr="00B31006" w:rsidRDefault="00D906DC" w:rsidP="005F3E79">
      <w:pPr>
        <w:adjustRightInd w:val="0"/>
        <w:snapToGrid w:val="0"/>
        <w:spacing w:line="520" w:lineRule="exact"/>
        <w:ind w:firstLineChars="200" w:firstLine="600"/>
        <w:rPr>
          <w:rFonts w:ascii="仿宋_GB2312" w:eastAsia="仿宋_GB2312"/>
          <w:sz w:val="30"/>
          <w:szCs w:val="30"/>
        </w:rPr>
      </w:pPr>
      <w:r w:rsidRPr="00B31006">
        <w:rPr>
          <w:rFonts w:ascii="仿宋_GB2312" w:eastAsia="仿宋_GB2312" w:hint="eastAsia"/>
          <w:sz w:val="30"/>
          <w:szCs w:val="30"/>
        </w:rPr>
        <w:t>另查明，</w:t>
      </w:r>
      <w:r w:rsidRPr="00B31006">
        <w:rPr>
          <w:rFonts w:ascii="仿宋_GB2312" w:eastAsia="仿宋_GB2312"/>
          <w:sz w:val="30"/>
          <w:szCs w:val="30"/>
        </w:rPr>
        <w:t>2009</w:t>
      </w:r>
      <w:r w:rsidRPr="00B31006">
        <w:rPr>
          <w:rFonts w:ascii="仿宋_GB2312" w:eastAsia="仿宋_GB2312" w:hint="eastAsia"/>
          <w:sz w:val="30"/>
          <w:szCs w:val="30"/>
        </w:rPr>
        <w:t>年以来，被告人</w:t>
      </w:r>
      <w:r>
        <w:rPr>
          <w:rFonts w:ascii="仿宋_GB2312" w:eastAsia="仿宋_GB2312" w:hint="eastAsia"/>
          <w:sz w:val="30"/>
          <w:szCs w:val="30"/>
        </w:rPr>
        <w:t>顾某某</w:t>
      </w:r>
      <w:r w:rsidRPr="00B31006">
        <w:rPr>
          <w:rFonts w:ascii="仿宋_GB2312" w:eastAsia="仿宋_GB2312" w:hint="eastAsia"/>
          <w:sz w:val="30"/>
          <w:szCs w:val="30"/>
        </w:rPr>
        <w:t>与</w:t>
      </w:r>
      <w:r w:rsidRPr="00096976">
        <w:rPr>
          <w:rFonts w:ascii="仿宋_GB2312" w:eastAsia="仿宋_GB2312" w:hAnsi="仿宋" w:hint="eastAsia"/>
          <w:sz w:val="30"/>
          <w:szCs w:val="30"/>
        </w:rPr>
        <w:t>才子服饰股份有限公司（以下简称“才子公司”）</w:t>
      </w:r>
      <w:r w:rsidRPr="00B31006">
        <w:rPr>
          <w:rFonts w:ascii="仿宋_GB2312" w:eastAsia="仿宋_GB2312" w:hint="eastAsia"/>
          <w:sz w:val="30"/>
          <w:szCs w:val="30"/>
        </w:rPr>
        <w:t>签订特许经营合同，以吊牌价的</w:t>
      </w:r>
      <w:r w:rsidRPr="00B31006">
        <w:rPr>
          <w:rFonts w:ascii="仿宋_GB2312" w:eastAsia="仿宋_GB2312"/>
          <w:sz w:val="30"/>
          <w:szCs w:val="30"/>
        </w:rPr>
        <w:t>80%</w:t>
      </w:r>
      <w:r w:rsidRPr="00B31006">
        <w:rPr>
          <w:rFonts w:ascii="仿宋_GB2312" w:eastAsia="仿宋_GB2312" w:hint="eastAsia"/>
          <w:sz w:val="30"/>
          <w:szCs w:val="30"/>
        </w:rPr>
        <w:t>确定全国统一供货零售价，在此基础上以</w:t>
      </w:r>
      <w:r w:rsidRPr="00B31006">
        <w:rPr>
          <w:rFonts w:ascii="仿宋_GB2312" w:eastAsia="仿宋_GB2312"/>
          <w:sz w:val="30"/>
          <w:szCs w:val="30"/>
        </w:rPr>
        <w:t>4.5</w:t>
      </w:r>
      <w:r w:rsidRPr="00B31006">
        <w:rPr>
          <w:rFonts w:ascii="仿宋_GB2312" w:eastAsia="仿宋_GB2312" w:hint="eastAsia"/>
          <w:sz w:val="30"/>
          <w:szCs w:val="30"/>
        </w:rPr>
        <w:t>折购进正品“才子”品牌服装并在泰州市兴化地区销售。</w:t>
      </w:r>
    </w:p>
    <w:p w:rsidR="00D906DC" w:rsidRPr="00B31006" w:rsidRDefault="00D906DC" w:rsidP="005F3E79">
      <w:pPr>
        <w:adjustRightInd w:val="0"/>
        <w:snapToGrid w:val="0"/>
        <w:spacing w:line="520" w:lineRule="exact"/>
        <w:ind w:firstLineChars="200" w:firstLine="600"/>
        <w:rPr>
          <w:rFonts w:ascii="仿宋_GB2312" w:eastAsia="仿宋_GB2312"/>
          <w:sz w:val="30"/>
          <w:szCs w:val="30"/>
        </w:rPr>
      </w:pPr>
      <w:r w:rsidRPr="00B31006">
        <w:rPr>
          <w:rFonts w:ascii="仿宋_GB2312" w:eastAsia="仿宋_GB2312"/>
          <w:sz w:val="30"/>
          <w:szCs w:val="30"/>
        </w:rPr>
        <w:t>2015</w:t>
      </w:r>
      <w:r w:rsidRPr="00B31006">
        <w:rPr>
          <w:rFonts w:ascii="仿宋_GB2312" w:eastAsia="仿宋_GB2312" w:hint="eastAsia"/>
          <w:sz w:val="30"/>
          <w:szCs w:val="30"/>
        </w:rPr>
        <w:t>年</w:t>
      </w:r>
      <w:r w:rsidRPr="00B31006">
        <w:rPr>
          <w:rFonts w:ascii="仿宋_GB2312" w:eastAsia="仿宋_GB2312"/>
          <w:sz w:val="30"/>
          <w:szCs w:val="30"/>
        </w:rPr>
        <w:t>1</w:t>
      </w:r>
      <w:r w:rsidRPr="00B31006">
        <w:rPr>
          <w:rFonts w:ascii="仿宋_GB2312" w:eastAsia="仿宋_GB2312" w:hint="eastAsia"/>
          <w:sz w:val="30"/>
          <w:szCs w:val="30"/>
        </w:rPr>
        <w:t>月</w:t>
      </w:r>
      <w:r w:rsidRPr="00B31006">
        <w:rPr>
          <w:rFonts w:ascii="仿宋_GB2312" w:eastAsia="仿宋_GB2312"/>
          <w:sz w:val="30"/>
          <w:szCs w:val="30"/>
        </w:rPr>
        <w:t>22</w:t>
      </w:r>
      <w:r w:rsidRPr="00B31006">
        <w:rPr>
          <w:rFonts w:ascii="仿宋_GB2312" w:eastAsia="仿宋_GB2312" w:hint="eastAsia"/>
          <w:sz w:val="30"/>
          <w:szCs w:val="30"/>
        </w:rPr>
        <w:t>日，兴化市市场监督管理局接到举报后，查处了以被告人</w:t>
      </w:r>
      <w:r>
        <w:rPr>
          <w:rFonts w:ascii="仿宋_GB2312" w:eastAsia="仿宋_GB2312" w:hint="eastAsia"/>
          <w:sz w:val="30"/>
          <w:szCs w:val="30"/>
        </w:rPr>
        <w:t>顾某某</w:t>
      </w:r>
      <w:r w:rsidRPr="00B31006">
        <w:rPr>
          <w:rFonts w:ascii="仿宋_GB2312" w:eastAsia="仿宋_GB2312" w:hint="eastAsia"/>
          <w:sz w:val="30"/>
          <w:szCs w:val="30"/>
        </w:rPr>
        <w:t>、</w:t>
      </w:r>
      <w:r>
        <w:rPr>
          <w:rFonts w:ascii="仿宋_GB2312" w:eastAsia="仿宋_GB2312" w:hint="eastAsia"/>
          <w:sz w:val="30"/>
          <w:szCs w:val="30"/>
        </w:rPr>
        <w:t>凌某某</w:t>
      </w:r>
      <w:r w:rsidRPr="00B31006">
        <w:rPr>
          <w:rFonts w:ascii="仿宋_GB2312" w:eastAsia="仿宋_GB2312" w:hint="eastAsia"/>
          <w:sz w:val="30"/>
          <w:szCs w:val="30"/>
        </w:rPr>
        <w:t>的名义领取营业执照的店铺，当场查获假冒“才子”品牌的裤子</w:t>
      </w:r>
      <w:r w:rsidRPr="00B31006">
        <w:rPr>
          <w:rFonts w:ascii="仿宋_GB2312" w:eastAsia="仿宋_GB2312"/>
          <w:sz w:val="30"/>
          <w:szCs w:val="30"/>
        </w:rPr>
        <w:t>128</w:t>
      </w:r>
      <w:r w:rsidRPr="00B31006">
        <w:rPr>
          <w:rFonts w:ascii="仿宋_GB2312" w:eastAsia="仿宋_GB2312" w:hint="eastAsia"/>
          <w:sz w:val="30"/>
          <w:szCs w:val="30"/>
        </w:rPr>
        <w:t>条并予以没收，并分别以兴化市市场监督管理局兴市监（工商）案字第</w:t>
      </w:r>
      <w:r w:rsidRPr="00B31006">
        <w:rPr>
          <w:rFonts w:ascii="仿宋_GB2312" w:eastAsia="仿宋_GB2312"/>
          <w:sz w:val="30"/>
          <w:szCs w:val="30"/>
        </w:rPr>
        <w:t>00082</w:t>
      </w:r>
      <w:r w:rsidRPr="00B31006">
        <w:rPr>
          <w:rFonts w:ascii="仿宋_GB2312" w:eastAsia="仿宋_GB2312" w:hint="eastAsia"/>
          <w:sz w:val="30"/>
          <w:szCs w:val="30"/>
        </w:rPr>
        <w:t>号、第</w:t>
      </w:r>
      <w:r w:rsidRPr="00B31006">
        <w:rPr>
          <w:rFonts w:ascii="仿宋_GB2312" w:eastAsia="仿宋_GB2312"/>
          <w:sz w:val="30"/>
          <w:szCs w:val="30"/>
        </w:rPr>
        <w:t>00084</w:t>
      </w:r>
      <w:r w:rsidRPr="00B31006">
        <w:rPr>
          <w:rFonts w:ascii="仿宋_GB2312" w:eastAsia="仿宋_GB2312" w:hint="eastAsia"/>
          <w:sz w:val="30"/>
          <w:szCs w:val="30"/>
        </w:rPr>
        <w:t>号行政处罚决定书对被告人</w:t>
      </w:r>
      <w:r>
        <w:rPr>
          <w:rFonts w:ascii="仿宋_GB2312" w:eastAsia="仿宋_GB2312" w:hint="eastAsia"/>
          <w:sz w:val="30"/>
          <w:szCs w:val="30"/>
        </w:rPr>
        <w:t>凌某某</w:t>
      </w:r>
      <w:r w:rsidRPr="00B31006">
        <w:rPr>
          <w:rFonts w:ascii="仿宋_GB2312" w:eastAsia="仿宋_GB2312" w:hint="eastAsia"/>
          <w:sz w:val="30"/>
          <w:szCs w:val="30"/>
        </w:rPr>
        <w:t>、</w:t>
      </w:r>
      <w:r>
        <w:rPr>
          <w:rFonts w:ascii="仿宋_GB2312" w:eastAsia="仿宋_GB2312" w:hint="eastAsia"/>
          <w:sz w:val="30"/>
          <w:szCs w:val="30"/>
        </w:rPr>
        <w:t>顾某某</w:t>
      </w:r>
      <w:r w:rsidRPr="00B31006">
        <w:rPr>
          <w:rFonts w:ascii="仿宋_GB2312" w:eastAsia="仿宋_GB2312" w:hint="eastAsia"/>
          <w:sz w:val="30"/>
          <w:szCs w:val="30"/>
        </w:rPr>
        <w:t>分别处以</w:t>
      </w:r>
      <w:r w:rsidRPr="00B31006">
        <w:rPr>
          <w:rFonts w:ascii="仿宋_GB2312" w:eastAsia="仿宋_GB2312"/>
          <w:sz w:val="30"/>
          <w:szCs w:val="30"/>
        </w:rPr>
        <w:t>200000</w:t>
      </w:r>
      <w:r w:rsidRPr="00B31006">
        <w:rPr>
          <w:rFonts w:ascii="仿宋_GB2312" w:eastAsia="仿宋_GB2312" w:hint="eastAsia"/>
          <w:sz w:val="30"/>
          <w:szCs w:val="30"/>
        </w:rPr>
        <w:t>元的罚款。</w:t>
      </w:r>
    </w:p>
    <w:p w:rsidR="00D906DC" w:rsidRPr="00B31006" w:rsidRDefault="00D906DC" w:rsidP="005F3E79">
      <w:pPr>
        <w:adjustRightInd w:val="0"/>
        <w:snapToGrid w:val="0"/>
        <w:spacing w:line="520" w:lineRule="exact"/>
        <w:ind w:firstLineChars="200" w:firstLine="602"/>
        <w:rPr>
          <w:rFonts w:ascii="仿宋_GB2312" w:eastAsia="仿宋_GB2312"/>
          <w:b/>
          <w:bCs/>
          <w:sz w:val="30"/>
          <w:szCs w:val="30"/>
        </w:rPr>
      </w:pPr>
      <w:r w:rsidRPr="00B31006">
        <w:rPr>
          <w:rFonts w:ascii="仿宋_GB2312" w:eastAsia="仿宋_GB2312" w:hint="eastAsia"/>
          <w:b/>
          <w:bCs/>
          <w:sz w:val="30"/>
          <w:szCs w:val="30"/>
        </w:rPr>
        <w:t>【法院认为】</w:t>
      </w:r>
    </w:p>
    <w:p w:rsidR="00D906DC" w:rsidRPr="00B31006" w:rsidRDefault="00D906DC" w:rsidP="005F3E79">
      <w:pPr>
        <w:adjustRightInd w:val="0"/>
        <w:snapToGrid w:val="0"/>
        <w:spacing w:line="520" w:lineRule="exact"/>
        <w:ind w:firstLineChars="200" w:firstLine="600"/>
        <w:rPr>
          <w:rFonts w:ascii="仿宋_GB2312" w:eastAsia="仿宋_GB2312"/>
          <w:sz w:val="30"/>
          <w:szCs w:val="30"/>
        </w:rPr>
      </w:pPr>
      <w:r w:rsidRPr="00B31006">
        <w:rPr>
          <w:rFonts w:ascii="仿宋_GB2312" w:eastAsia="仿宋_GB2312" w:hint="eastAsia"/>
          <w:sz w:val="30"/>
          <w:szCs w:val="30"/>
        </w:rPr>
        <w:t>被告人</w:t>
      </w:r>
      <w:r>
        <w:rPr>
          <w:rFonts w:ascii="仿宋_GB2312" w:eastAsia="仿宋_GB2312" w:hint="eastAsia"/>
          <w:sz w:val="30"/>
          <w:szCs w:val="30"/>
        </w:rPr>
        <w:t>顾某某</w:t>
      </w:r>
      <w:r w:rsidRPr="00B31006">
        <w:rPr>
          <w:rFonts w:ascii="仿宋_GB2312" w:eastAsia="仿宋_GB2312" w:hint="eastAsia"/>
          <w:sz w:val="30"/>
          <w:szCs w:val="30"/>
        </w:rPr>
        <w:t>、</w:t>
      </w:r>
      <w:r>
        <w:rPr>
          <w:rFonts w:ascii="仿宋_GB2312" w:eastAsia="仿宋_GB2312" w:hint="eastAsia"/>
          <w:sz w:val="30"/>
          <w:szCs w:val="30"/>
        </w:rPr>
        <w:t>张某</w:t>
      </w:r>
      <w:r w:rsidRPr="00B31006">
        <w:rPr>
          <w:rFonts w:ascii="仿宋_GB2312" w:eastAsia="仿宋_GB2312" w:hint="eastAsia"/>
          <w:sz w:val="30"/>
          <w:szCs w:val="30"/>
        </w:rPr>
        <w:t>、</w:t>
      </w:r>
      <w:r>
        <w:rPr>
          <w:rFonts w:ascii="仿宋_GB2312" w:eastAsia="仿宋_GB2312" w:hint="eastAsia"/>
          <w:sz w:val="30"/>
          <w:szCs w:val="30"/>
        </w:rPr>
        <w:t>凌某某</w:t>
      </w:r>
      <w:r w:rsidRPr="00B31006">
        <w:rPr>
          <w:rFonts w:ascii="仿宋_GB2312" w:eastAsia="仿宋_GB2312" w:hint="eastAsia"/>
          <w:sz w:val="30"/>
          <w:szCs w:val="30"/>
        </w:rPr>
        <w:t>未经注册商标所有人许可，在同一</w:t>
      </w:r>
      <w:r w:rsidRPr="00B31006">
        <w:rPr>
          <w:rFonts w:ascii="仿宋_GB2312" w:eastAsia="仿宋_GB2312" w:hint="eastAsia"/>
          <w:sz w:val="30"/>
          <w:szCs w:val="30"/>
        </w:rPr>
        <w:lastRenderedPageBreak/>
        <w:t>种商品上使用与其注册商标相同的商标，情节特别严重，其行为触犯了假冒注册商标罪，被告人</w:t>
      </w:r>
      <w:r>
        <w:rPr>
          <w:rFonts w:ascii="仿宋_GB2312" w:eastAsia="仿宋_GB2312" w:hint="eastAsia"/>
          <w:sz w:val="30"/>
          <w:szCs w:val="30"/>
        </w:rPr>
        <w:t>顾某某</w:t>
      </w:r>
      <w:r w:rsidRPr="00B31006">
        <w:rPr>
          <w:rFonts w:ascii="仿宋_GB2312" w:eastAsia="仿宋_GB2312" w:hint="eastAsia"/>
          <w:sz w:val="30"/>
          <w:szCs w:val="30"/>
        </w:rPr>
        <w:t>、</w:t>
      </w:r>
      <w:r>
        <w:rPr>
          <w:rFonts w:ascii="仿宋_GB2312" w:eastAsia="仿宋_GB2312" w:hint="eastAsia"/>
          <w:sz w:val="30"/>
          <w:szCs w:val="30"/>
        </w:rPr>
        <w:t>张某</w:t>
      </w:r>
      <w:r w:rsidRPr="00B31006">
        <w:rPr>
          <w:rFonts w:ascii="仿宋_GB2312" w:eastAsia="仿宋_GB2312" w:hint="eastAsia"/>
          <w:sz w:val="30"/>
          <w:szCs w:val="30"/>
        </w:rPr>
        <w:t>、</w:t>
      </w:r>
      <w:r>
        <w:rPr>
          <w:rFonts w:ascii="仿宋_GB2312" w:eastAsia="仿宋_GB2312" w:hint="eastAsia"/>
          <w:sz w:val="30"/>
          <w:szCs w:val="30"/>
        </w:rPr>
        <w:t>凌某某</w:t>
      </w:r>
      <w:r w:rsidRPr="00B31006">
        <w:rPr>
          <w:rFonts w:ascii="仿宋_GB2312" w:eastAsia="仿宋_GB2312" w:hint="eastAsia"/>
          <w:sz w:val="30"/>
          <w:szCs w:val="30"/>
        </w:rPr>
        <w:t>在实施犯罪行为时具有刑事责任能力，依法应当承担相应的罪责。公诉机关指控各被告人的犯罪事实清楚，证据确实充分，指控的罪名正确。</w:t>
      </w:r>
    </w:p>
    <w:p w:rsidR="00D906DC" w:rsidRPr="00B31006" w:rsidRDefault="00D906DC" w:rsidP="005F3E79">
      <w:pPr>
        <w:adjustRightInd w:val="0"/>
        <w:snapToGrid w:val="0"/>
        <w:spacing w:line="520" w:lineRule="exact"/>
        <w:ind w:firstLineChars="200" w:firstLine="600"/>
        <w:rPr>
          <w:rFonts w:ascii="仿宋_GB2312" w:eastAsia="仿宋_GB2312"/>
          <w:sz w:val="30"/>
          <w:szCs w:val="30"/>
        </w:rPr>
      </w:pPr>
      <w:r w:rsidRPr="00B31006">
        <w:rPr>
          <w:rFonts w:ascii="仿宋_GB2312" w:eastAsia="仿宋_GB2312" w:hint="eastAsia"/>
          <w:sz w:val="30"/>
          <w:szCs w:val="30"/>
        </w:rPr>
        <w:t>被告人</w:t>
      </w:r>
      <w:r>
        <w:rPr>
          <w:rFonts w:ascii="仿宋_GB2312" w:eastAsia="仿宋_GB2312" w:hint="eastAsia"/>
          <w:sz w:val="30"/>
          <w:szCs w:val="30"/>
        </w:rPr>
        <w:t>顾某某</w:t>
      </w:r>
      <w:r w:rsidRPr="00B31006">
        <w:rPr>
          <w:rFonts w:ascii="仿宋_GB2312" w:eastAsia="仿宋_GB2312" w:hint="eastAsia"/>
          <w:sz w:val="30"/>
          <w:szCs w:val="30"/>
        </w:rPr>
        <w:t>、</w:t>
      </w:r>
      <w:r>
        <w:rPr>
          <w:rFonts w:ascii="仿宋_GB2312" w:eastAsia="仿宋_GB2312" w:hint="eastAsia"/>
          <w:sz w:val="30"/>
          <w:szCs w:val="30"/>
        </w:rPr>
        <w:t>凌某某</w:t>
      </w:r>
      <w:r w:rsidRPr="00B31006">
        <w:rPr>
          <w:rFonts w:ascii="仿宋_GB2312" w:eastAsia="仿宋_GB2312" w:hint="eastAsia"/>
          <w:sz w:val="30"/>
          <w:szCs w:val="30"/>
        </w:rPr>
        <w:t>曾因知识产权违法行为受到行政处罚，其再次因侵犯知识产权构成犯罪，依法从重处罚。被告人</w:t>
      </w:r>
      <w:r>
        <w:rPr>
          <w:rFonts w:ascii="仿宋_GB2312" w:eastAsia="仿宋_GB2312" w:hint="eastAsia"/>
          <w:sz w:val="30"/>
          <w:szCs w:val="30"/>
        </w:rPr>
        <w:t>顾某某</w:t>
      </w:r>
      <w:r w:rsidRPr="00B31006">
        <w:rPr>
          <w:rFonts w:ascii="仿宋_GB2312" w:eastAsia="仿宋_GB2312" w:hint="eastAsia"/>
          <w:sz w:val="30"/>
          <w:szCs w:val="30"/>
        </w:rPr>
        <w:t>、</w:t>
      </w:r>
      <w:r>
        <w:rPr>
          <w:rFonts w:ascii="仿宋_GB2312" w:eastAsia="仿宋_GB2312" w:hint="eastAsia"/>
          <w:sz w:val="30"/>
          <w:szCs w:val="30"/>
        </w:rPr>
        <w:t>张某</w:t>
      </w:r>
      <w:r w:rsidRPr="00B31006">
        <w:rPr>
          <w:rFonts w:ascii="仿宋_GB2312" w:eastAsia="仿宋_GB2312" w:hint="eastAsia"/>
          <w:sz w:val="30"/>
          <w:szCs w:val="30"/>
        </w:rPr>
        <w:t>、</w:t>
      </w:r>
      <w:r>
        <w:rPr>
          <w:rFonts w:ascii="仿宋_GB2312" w:eastAsia="仿宋_GB2312" w:hint="eastAsia"/>
          <w:sz w:val="30"/>
          <w:szCs w:val="30"/>
        </w:rPr>
        <w:t>凌某某</w:t>
      </w:r>
      <w:r w:rsidRPr="00B31006">
        <w:rPr>
          <w:rFonts w:ascii="仿宋_GB2312" w:eastAsia="仿宋_GB2312" w:hint="eastAsia"/>
          <w:sz w:val="30"/>
          <w:szCs w:val="30"/>
        </w:rPr>
        <w:t>系共同犯罪，被告人</w:t>
      </w:r>
      <w:r>
        <w:rPr>
          <w:rFonts w:ascii="仿宋_GB2312" w:eastAsia="仿宋_GB2312" w:hint="eastAsia"/>
          <w:sz w:val="30"/>
          <w:szCs w:val="30"/>
        </w:rPr>
        <w:t>顾某某</w:t>
      </w:r>
      <w:r w:rsidRPr="00B31006">
        <w:rPr>
          <w:rFonts w:ascii="仿宋_GB2312" w:eastAsia="仿宋_GB2312" w:hint="eastAsia"/>
          <w:sz w:val="30"/>
          <w:szCs w:val="30"/>
        </w:rPr>
        <w:t>、</w:t>
      </w:r>
      <w:r>
        <w:rPr>
          <w:rFonts w:ascii="仿宋_GB2312" w:eastAsia="仿宋_GB2312" w:hint="eastAsia"/>
          <w:sz w:val="30"/>
          <w:szCs w:val="30"/>
        </w:rPr>
        <w:t>张某</w:t>
      </w:r>
      <w:r w:rsidRPr="00B31006">
        <w:rPr>
          <w:rFonts w:ascii="仿宋_GB2312" w:eastAsia="仿宋_GB2312" w:hint="eastAsia"/>
          <w:sz w:val="30"/>
          <w:szCs w:val="30"/>
        </w:rPr>
        <w:t>在共同犯罪中起主要作用，系主犯，被告人</w:t>
      </w:r>
      <w:r>
        <w:rPr>
          <w:rFonts w:ascii="仿宋_GB2312" w:eastAsia="仿宋_GB2312" w:hint="eastAsia"/>
          <w:sz w:val="30"/>
          <w:szCs w:val="30"/>
        </w:rPr>
        <w:t>凌某某</w:t>
      </w:r>
      <w:r w:rsidRPr="00B31006">
        <w:rPr>
          <w:rFonts w:ascii="仿宋_GB2312" w:eastAsia="仿宋_GB2312" w:hint="eastAsia"/>
          <w:sz w:val="30"/>
          <w:szCs w:val="30"/>
        </w:rPr>
        <w:t>在共同犯罪中起次要作用，系从犯。被告人</w:t>
      </w:r>
      <w:r>
        <w:rPr>
          <w:rFonts w:ascii="仿宋_GB2312" w:eastAsia="仿宋_GB2312" w:hint="eastAsia"/>
          <w:sz w:val="30"/>
          <w:szCs w:val="30"/>
        </w:rPr>
        <w:t>顾某某</w:t>
      </w:r>
      <w:r w:rsidRPr="00B31006">
        <w:rPr>
          <w:rFonts w:ascii="仿宋_GB2312" w:eastAsia="仿宋_GB2312" w:hint="eastAsia"/>
          <w:sz w:val="30"/>
          <w:szCs w:val="30"/>
        </w:rPr>
        <w:t>、</w:t>
      </w:r>
      <w:r>
        <w:rPr>
          <w:rFonts w:ascii="仿宋_GB2312" w:eastAsia="仿宋_GB2312" w:hint="eastAsia"/>
          <w:sz w:val="30"/>
          <w:szCs w:val="30"/>
        </w:rPr>
        <w:t>张某</w:t>
      </w:r>
      <w:r w:rsidRPr="00B31006">
        <w:rPr>
          <w:rFonts w:ascii="仿宋_GB2312" w:eastAsia="仿宋_GB2312" w:hint="eastAsia"/>
          <w:sz w:val="30"/>
          <w:szCs w:val="30"/>
        </w:rPr>
        <w:t>应当按照所参与或者组织、指挥的全部犯罪处罚，被告人</w:t>
      </w:r>
      <w:r>
        <w:rPr>
          <w:rFonts w:ascii="仿宋_GB2312" w:eastAsia="仿宋_GB2312" w:hint="eastAsia"/>
          <w:sz w:val="30"/>
          <w:szCs w:val="30"/>
        </w:rPr>
        <w:t>凌某某</w:t>
      </w:r>
      <w:r w:rsidRPr="00B31006">
        <w:rPr>
          <w:rFonts w:ascii="仿宋_GB2312" w:eastAsia="仿宋_GB2312" w:hint="eastAsia"/>
          <w:sz w:val="30"/>
          <w:szCs w:val="30"/>
        </w:rPr>
        <w:t>应当从轻或减轻处罚。被告人</w:t>
      </w:r>
      <w:r>
        <w:rPr>
          <w:rFonts w:ascii="仿宋_GB2312" w:eastAsia="仿宋_GB2312" w:hint="eastAsia"/>
          <w:sz w:val="30"/>
          <w:szCs w:val="30"/>
        </w:rPr>
        <w:t>顾某某</w:t>
      </w:r>
      <w:r w:rsidRPr="00B31006">
        <w:rPr>
          <w:rFonts w:ascii="仿宋_GB2312" w:eastAsia="仿宋_GB2312" w:hint="eastAsia"/>
          <w:sz w:val="30"/>
          <w:szCs w:val="30"/>
        </w:rPr>
        <w:t>、</w:t>
      </w:r>
      <w:r>
        <w:rPr>
          <w:rFonts w:ascii="仿宋_GB2312" w:eastAsia="仿宋_GB2312" w:hint="eastAsia"/>
          <w:sz w:val="30"/>
          <w:szCs w:val="30"/>
        </w:rPr>
        <w:t>凌某某</w:t>
      </w:r>
      <w:r w:rsidRPr="00B31006">
        <w:rPr>
          <w:rFonts w:ascii="仿宋_GB2312" w:eastAsia="仿宋_GB2312" w:hint="eastAsia"/>
          <w:sz w:val="30"/>
          <w:szCs w:val="30"/>
        </w:rPr>
        <w:t>、</w:t>
      </w:r>
      <w:r>
        <w:rPr>
          <w:rFonts w:ascii="仿宋_GB2312" w:eastAsia="仿宋_GB2312" w:hint="eastAsia"/>
          <w:sz w:val="30"/>
          <w:szCs w:val="30"/>
        </w:rPr>
        <w:t>张某</w:t>
      </w:r>
      <w:r w:rsidRPr="00B31006">
        <w:rPr>
          <w:rFonts w:ascii="仿宋_GB2312" w:eastAsia="仿宋_GB2312" w:hint="eastAsia"/>
          <w:sz w:val="30"/>
          <w:szCs w:val="30"/>
        </w:rPr>
        <w:t>归案后，如实供述自己的罪行，可以从轻处罚。被告人</w:t>
      </w:r>
      <w:r>
        <w:rPr>
          <w:rFonts w:ascii="仿宋_GB2312" w:eastAsia="仿宋_GB2312" w:hint="eastAsia"/>
          <w:sz w:val="30"/>
          <w:szCs w:val="30"/>
        </w:rPr>
        <w:t>顾某某</w:t>
      </w:r>
      <w:r w:rsidRPr="00B31006">
        <w:rPr>
          <w:rFonts w:ascii="仿宋_GB2312" w:eastAsia="仿宋_GB2312" w:hint="eastAsia"/>
          <w:sz w:val="30"/>
          <w:szCs w:val="30"/>
        </w:rPr>
        <w:t>、</w:t>
      </w:r>
      <w:r>
        <w:rPr>
          <w:rFonts w:ascii="仿宋_GB2312" w:eastAsia="仿宋_GB2312" w:hint="eastAsia"/>
          <w:sz w:val="30"/>
          <w:szCs w:val="30"/>
        </w:rPr>
        <w:t>凌某某</w:t>
      </w:r>
      <w:r w:rsidRPr="00B31006">
        <w:rPr>
          <w:rFonts w:ascii="仿宋_GB2312" w:eastAsia="仿宋_GB2312" w:hint="eastAsia"/>
          <w:sz w:val="30"/>
          <w:szCs w:val="30"/>
        </w:rPr>
        <w:t>、</w:t>
      </w:r>
      <w:r>
        <w:rPr>
          <w:rFonts w:ascii="仿宋_GB2312" w:eastAsia="仿宋_GB2312" w:hint="eastAsia"/>
          <w:sz w:val="30"/>
          <w:szCs w:val="30"/>
        </w:rPr>
        <w:t>张某</w:t>
      </w:r>
      <w:r w:rsidRPr="00B31006">
        <w:rPr>
          <w:rFonts w:ascii="仿宋_GB2312" w:eastAsia="仿宋_GB2312" w:hint="eastAsia"/>
          <w:sz w:val="30"/>
          <w:szCs w:val="30"/>
        </w:rPr>
        <w:t>自愿如实供述自己的罪行，承认指控的犯罪事实，愿意接受处罚，可以依法从宽处理。</w:t>
      </w:r>
    </w:p>
    <w:p w:rsidR="00D906DC" w:rsidRPr="00B31006" w:rsidRDefault="00D906DC" w:rsidP="005F3E79">
      <w:pPr>
        <w:adjustRightInd w:val="0"/>
        <w:snapToGrid w:val="0"/>
        <w:spacing w:line="520" w:lineRule="exact"/>
        <w:ind w:firstLineChars="200" w:firstLine="600"/>
        <w:rPr>
          <w:rFonts w:ascii="仿宋_GB2312" w:eastAsia="仿宋_GB2312"/>
          <w:sz w:val="30"/>
          <w:szCs w:val="30"/>
        </w:rPr>
      </w:pPr>
      <w:r w:rsidRPr="00B31006">
        <w:rPr>
          <w:rFonts w:ascii="仿宋_GB2312" w:eastAsia="仿宋_GB2312" w:hint="eastAsia"/>
          <w:sz w:val="30"/>
          <w:szCs w:val="30"/>
        </w:rPr>
        <w:t>关于被告人</w:t>
      </w:r>
      <w:r>
        <w:rPr>
          <w:rFonts w:ascii="仿宋_GB2312" w:eastAsia="仿宋_GB2312" w:hint="eastAsia"/>
          <w:sz w:val="30"/>
          <w:szCs w:val="30"/>
        </w:rPr>
        <w:t>顾某某</w:t>
      </w:r>
      <w:r w:rsidRPr="00B31006">
        <w:rPr>
          <w:rFonts w:ascii="仿宋_GB2312" w:eastAsia="仿宋_GB2312" w:hint="eastAsia"/>
          <w:sz w:val="30"/>
          <w:szCs w:val="30"/>
        </w:rPr>
        <w:t>所持非法经营数额计算方法及适用缓刑的自我辩护意见，法院认为，公诉机关在结合被告人</w:t>
      </w:r>
      <w:r>
        <w:rPr>
          <w:rFonts w:ascii="仿宋_GB2312" w:eastAsia="仿宋_GB2312" w:hint="eastAsia"/>
          <w:sz w:val="30"/>
          <w:szCs w:val="30"/>
        </w:rPr>
        <w:t>张某</w:t>
      </w:r>
      <w:r w:rsidRPr="00B31006">
        <w:rPr>
          <w:rFonts w:ascii="仿宋_GB2312" w:eastAsia="仿宋_GB2312" w:hint="eastAsia"/>
          <w:sz w:val="30"/>
          <w:szCs w:val="30"/>
        </w:rPr>
        <w:t>的辩护请求时已经考虑到被告人</w:t>
      </w:r>
      <w:r>
        <w:rPr>
          <w:rFonts w:ascii="仿宋_GB2312" w:eastAsia="仿宋_GB2312" w:hint="eastAsia"/>
          <w:sz w:val="30"/>
          <w:szCs w:val="30"/>
        </w:rPr>
        <w:t>顾某某</w:t>
      </w:r>
      <w:r w:rsidRPr="00B31006">
        <w:rPr>
          <w:rFonts w:ascii="仿宋_GB2312" w:eastAsia="仿宋_GB2312" w:hint="eastAsia"/>
          <w:sz w:val="30"/>
          <w:szCs w:val="30"/>
        </w:rPr>
        <w:t>的实际销售状况，对于侦查机关扣押的侵权服装从有利于被告人的角度出发，以才子服饰股份有限公司给予被告人</w:t>
      </w:r>
      <w:r>
        <w:rPr>
          <w:rFonts w:ascii="仿宋_GB2312" w:eastAsia="仿宋_GB2312" w:hint="eastAsia"/>
          <w:sz w:val="30"/>
          <w:szCs w:val="30"/>
        </w:rPr>
        <w:t>顾某某</w:t>
      </w:r>
      <w:r w:rsidRPr="00B31006">
        <w:rPr>
          <w:rFonts w:ascii="仿宋_GB2312" w:eastAsia="仿宋_GB2312" w:hint="eastAsia"/>
          <w:sz w:val="30"/>
          <w:szCs w:val="30"/>
        </w:rPr>
        <w:t>的批发价作为计算其非法经营数额的基础，符合法律规定；被告人</w:t>
      </w:r>
      <w:r>
        <w:rPr>
          <w:rFonts w:ascii="仿宋_GB2312" w:eastAsia="仿宋_GB2312" w:hint="eastAsia"/>
          <w:sz w:val="30"/>
          <w:szCs w:val="30"/>
        </w:rPr>
        <w:t>顾某某</w:t>
      </w:r>
      <w:r w:rsidRPr="00B31006">
        <w:rPr>
          <w:rFonts w:ascii="仿宋_GB2312" w:eastAsia="仿宋_GB2312" w:hint="eastAsia"/>
          <w:sz w:val="30"/>
          <w:szCs w:val="30"/>
        </w:rPr>
        <w:t>犯罪情节属于特别严重，不符合判处缓刑的条件。</w:t>
      </w:r>
    </w:p>
    <w:p w:rsidR="00D906DC" w:rsidRPr="00B31006" w:rsidRDefault="00D906DC" w:rsidP="005F3E79">
      <w:pPr>
        <w:adjustRightInd w:val="0"/>
        <w:snapToGrid w:val="0"/>
        <w:spacing w:line="520" w:lineRule="exact"/>
        <w:ind w:firstLineChars="200" w:firstLine="600"/>
        <w:rPr>
          <w:rFonts w:ascii="仿宋_GB2312" w:eastAsia="仿宋_GB2312"/>
          <w:sz w:val="30"/>
          <w:szCs w:val="30"/>
        </w:rPr>
      </w:pPr>
      <w:r w:rsidRPr="00B31006">
        <w:rPr>
          <w:rFonts w:ascii="仿宋_GB2312" w:eastAsia="仿宋_GB2312" w:hint="eastAsia"/>
          <w:sz w:val="30"/>
          <w:szCs w:val="30"/>
        </w:rPr>
        <w:t>关于辩护人尹明、叶立进律师的辩护意见，法院认为，一、关于侵权服装数量认定事实不清、证据不足的问题。从侦查卷中已经反映出才子服饰股份有限公司的原鉴定人员及相关人员存在包庇嫌疑，且才子服饰股份有限公司已经重新鉴定并提出了侵权服装的价值，对此辩护意见不予采信；二、关于本案犯罪涉及的非法经营数额的认定问</w:t>
      </w:r>
      <w:r w:rsidRPr="00B31006">
        <w:rPr>
          <w:rFonts w:ascii="仿宋_GB2312" w:eastAsia="仿宋_GB2312" w:hint="eastAsia"/>
          <w:sz w:val="30"/>
          <w:szCs w:val="30"/>
        </w:rPr>
        <w:lastRenderedPageBreak/>
        <w:t>题，前已有阐述，对此辩护意见不予采信；三、关于被告人</w:t>
      </w:r>
      <w:r>
        <w:rPr>
          <w:rFonts w:ascii="仿宋_GB2312" w:eastAsia="仿宋_GB2312" w:hint="eastAsia"/>
          <w:sz w:val="30"/>
          <w:szCs w:val="30"/>
        </w:rPr>
        <w:t>顾某某</w:t>
      </w:r>
      <w:r w:rsidRPr="00B31006">
        <w:rPr>
          <w:rFonts w:ascii="仿宋_GB2312" w:eastAsia="仿宋_GB2312" w:hint="eastAsia"/>
          <w:sz w:val="30"/>
          <w:szCs w:val="30"/>
        </w:rPr>
        <w:t>是否构成自首的问题，根据侦查机关的反映，被告人</w:t>
      </w:r>
      <w:r>
        <w:rPr>
          <w:rFonts w:ascii="仿宋_GB2312" w:eastAsia="仿宋_GB2312" w:hint="eastAsia"/>
          <w:sz w:val="30"/>
          <w:szCs w:val="30"/>
        </w:rPr>
        <w:t>顾某某</w:t>
      </w:r>
      <w:r w:rsidRPr="00B31006">
        <w:rPr>
          <w:rFonts w:ascii="仿宋_GB2312" w:eastAsia="仿宋_GB2312" w:hint="eastAsia"/>
          <w:sz w:val="30"/>
          <w:szCs w:val="30"/>
        </w:rPr>
        <w:t>系被抓获归案的，且在第一次讯问时也没有如实交代全部犯罪事实，对于此辩护意见，不予采信；四、关于辩护人认为判处被告人</w:t>
      </w:r>
      <w:r>
        <w:rPr>
          <w:rFonts w:ascii="仿宋_GB2312" w:eastAsia="仿宋_GB2312" w:hint="eastAsia"/>
          <w:sz w:val="30"/>
          <w:szCs w:val="30"/>
        </w:rPr>
        <w:t>顾某某</w:t>
      </w:r>
      <w:r w:rsidRPr="00B31006">
        <w:rPr>
          <w:rFonts w:ascii="仿宋_GB2312" w:eastAsia="仿宋_GB2312" w:hint="eastAsia"/>
          <w:sz w:val="30"/>
          <w:szCs w:val="30"/>
        </w:rPr>
        <w:t>缓刑的辩护意见，亦不予采信；五、辩护人关于被告人</w:t>
      </w:r>
      <w:r>
        <w:rPr>
          <w:rFonts w:ascii="仿宋_GB2312" w:eastAsia="仿宋_GB2312" w:hint="eastAsia"/>
          <w:sz w:val="30"/>
          <w:szCs w:val="30"/>
        </w:rPr>
        <w:t>顾某某</w:t>
      </w:r>
      <w:r w:rsidRPr="00B31006">
        <w:rPr>
          <w:rFonts w:ascii="仿宋_GB2312" w:eastAsia="仿宋_GB2312" w:hint="eastAsia"/>
          <w:sz w:val="30"/>
          <w:szCs w:val="30"/>
        </w:rPr>
        <w:t>有悔罪表现、自愿认罪认罚，建议从轻处罚的意见，予以采信。</w:t>
      </w:r>
    </w:p>
    <w:p w:rsidR="00D906DC" w:rsidRPr="00B31006" w:rsidRDefault="00D906DC" w:rsidP="005F3E79">
      <w:pPr>
        <w:adjustRightInd w:val="0"/>
        <w:snapToGrid w:val="0"/>
        <w:spacing w:line="520" w:lineRule="exact"/>
        <w:ind w:firstLineChars="200" w:firstLine="600"/>
        <w:rPr>
          <w:rFonts w:ascii="仿宋_GB2312" w:eastAsia="仿宋_GB2312"/>
          <w:sz w:val="30"/>
          <w:szCs w:val="30"/>
        </w:rPr>
      </w:pPr>
      <w:r w:rsidRPr="00B31006">
        <w:rPr>
          <w:rFonts w:ascii="仿宋_GB2312" w:eastAsia="仿宋_GB2312" w:hint="eastAsia"/>
          <w:sz w:val="30"/>
          <w:szCs w:val="30"/>
        </w:rPr>
        <w:t>关于辩护人王朋律师的辩护意见，法院认为，被告人</w:t>
      </w:r>
      <w:r>
        <w:rPr>
          <w:rFonts w:ascii="仿宋_GB2312" w:eastAsia="仿宋_GB2312" w:hint="eastAsia"/>
          <w:sz w:val="30"/>
          <w:szCs w:val="30"/>
        </w:rPr>
        <w:t>张某</w:t>
      </w:r>
      <w:r w:rsidRPr="00B31006">
        <w:rPr>
          <w:rFonts w:ascii="仿宋_GB2312" w:eastAsia="仿宋_GB2312" w:hint="eastAsia"/>
          <w:sz w:val="30"/>
          <w:szCs w:val="30"/>
        </w:rPr>
        <w:t>从吴雅雯处取得涉案商标，擅自缝于服装之上，并邮寄至被告人</w:t>
      </w:r>
      <w:r>
        <w:rPr>
          <w:rFonts w:ascii="仿宋_GB2312" w:eastAsia="仿宋_GB2312" w:hint="eastAsia"/>
          <w:sz w:val="30"/>
          <w:szCs w:val="30"/>
        </w:rPr>
        <w:t>顾某某</w:t>
      </w:r>
      <w:r w:rsidRPr="00B31006">
        <w:rPr>
          <w:rFonts w:ascii="仿宋_GB2312" w:eastAsia="仿宋_GB2312" w:hint="eastAsia"/>
          <w:sz w:val="30"/>
          <w:szCs w:val="30"/>
        </w:rPr>
        <w:t>指定地点，在假冒注册商标犯罪中起了主要作用，因此将其定为主犯，定性准确，对该辩护意见不予采信。在量刑时，法院将结合其在共同犯罪中的作用及犯罪事实、犯罪性质、犯罪情节和对社会的危害程度及公诉机关的意见等量刑因素，依法决定其应得刑罚。</w:t>
      </w:r>
    </w:p>
    <w:p w:rsidR="00D906DC" w:rsidRPr="00B31006" w:rsidRDefault="00D906DC" w:rsidP="005F3E79">
      <w:pPr>
        <w:adjustRightInd w:val="0"/>
        <w:snapToGrid w:val="0"/>
        <w:spacing w:line="520" w:lineRule="exact"/>
        <w:ind w:firstLineChars="200" w:firstLine="600"/>
        <w:rPr>
          <w:rFonts w:ascii="仿宋_GB2312" w:eastAsia="仿宋_GB2312"/>
          <w:sz w:val="30"/>
          <w:szCs w:val="30"/>
        </w:rPr>
      </w:pPr>
      <w:r w:rsidRPr="00B31006">
        <w:rPr>
          <w:rFonts w:ascii="仿宋_GB2312" w:eastAsia="仿宋_GB2312" w:hint="eastAsia"/>
          <w:sz w:val="30"/>
          <w:szCs w:val="30"/>
        </w:rPr>
        <w:t>据此，法院判决被告人</w:t>
      </w:r>
      <w:r>
        <w:rPr>
          <w:rFonts w:ascii="仿宋_GB2312" w:eastAsia="仿宋_GB2312" w:hint="eastAsia"/>
          <w:sz w:val="30"/>
          <w:szCs w:val="30"/>
        </w:rPr>
        <w:t>顾某某</w:t>
      </w:r>
      <w:r w:rsidRPr="00B31006">
        <w:rPr>
          <w:rFonts w:ascii="仿宋_GB2312" w:eastAsia="仿宋_GB2312" w:hint="eastAsia"/>
          <w:sz w:val="30"/>
          <w:szCs w:val="30"/>
        </w:rPr>
        <w:t>犯假冒注册商标罪，判处有期徒刑四年二个月，并处罚金人民币七十万元；判决被告人</w:t>
      </w:r>
      <w:r>
        <w:rPr>
          <w:rFonts w:ascii="仿宋_GB2312" w:eastAsia="仿宋_GB2312" w:hint="eastAsia"/>
          <w:sz w:val="30"/>
          <w:szCs w:val="30"/>
        </w:rPr>
        <w:t>张某</w:t>
      </w:r>
      <w:r w:rsidRPr="00B31006">
        <w:rPr>
          <w:rFonts w:ascii="仿宋_GB2312" w:eastAsia="仿宋_GB2312" w:hint="eastAsia"/>
          <w:sz w:val="30"/>
          <w:szCs w:val="30"/>
        </w:rPr>
        <w:t>犯假冒注册商标罪，判处有期徒刑三年，缓刑四年，并处罚金人民币二十万元；判决被告人</w:t>
      </w:r>
      <w:r>
        <w:rPr>
          <w:rFonts w:ascii="仿宋_GB2312" w:eastAsia="仿宋_GB2312" w:hint="eastAsia"/>
          <w:sz w:val="30"/>
          <w:szCs w:val="30"/>
        </w:rPr>
        <w:t>凌某某</w:t>
      </w:r>
      <w:r w:rsidRPr="00B31006">
        <w:rPr>
          <w:rFonts w:ascii="仿宋_GB2312" w:eastAsia="仿宋_GB2312" w:hint="eastAsia"/>
          <w:sz w:val="30"/>
          <w:szCs w:val="30"/>
        </w:rPr>
        <w:t>犯假冒注册商标罪，判处有期徒刑二年六个月，缓刑三年六个月，并处罚金人民币三十万元。扣押的假冒他人注册商标的标识（包括从服装上清除的标识），由暂存机关予以销毁，对于去除标识后的服装</w:t>
      </w:r>
      <w:r w:rsidRPr="00B31006">
        <w:rPr>
          <w:rFonts w:ascii="仿宋_GB2312" w:eastAsia="仿宋_GB2312"/>
          <w:sz w:val="30"/>
          <w:szCs w:val="30"/>
        </w:rPr>
        <w:t>3949</w:t>
      </w:r>
      <w:r w:rsidRPr="00B31006">
        <w:rPr>
          <w:rFonts w:ascii="仿宋_GB2312" w:eastAsia="仿宋_GB2312" w:hint="eastAsia"/>
          <w:sz w:val="30"/>
          <w:szCs w:val="30"/>
        </w:rPr>
        <w:t>件、扣押的各被告人的手机（被告人</w:t>
      </w:r>
      <w:r>
        <w:rPr>
          <w:rFonts w:ascii="仿宋_GB2312" w:eastAsia="仿宋_GB2312" w:hint="eastAsia"/>
          <w:sz w:val="30"/>
          <w:szCs w:val="30"/>
        </w:rPr>
        <w:t>顾某某</w:t>
      </w:r>
      <w:r w:rsidRPr="00B31006">
        <w:rPr>
          <w:rFonts w:ascii="仿宋_GB2312" w:eastAsia="仿宋_GB2312" w:hint="eastAsia"/>
          <w:sz w:val="30"/>
          <w:szCs w:val="30"/>
        </w:rPr>
        <w:t>：苹果</w:t>
      </w:r>
      <w:r w:rsidRPr="00B31006">
        <w:rPr>
          <w:rFonts w:ascii="仿宋_GB2312" w:eastAsia="仿宋_GB2312"/>
          <w:sz w:val="30"/>
          <w:szCs w:val="30"/>
        </w:rPr>
        <w:t>X</w:t>
      </w:r>
      <w:r w:rsidRPr="00B31006">
        <w:rPr>
          <w:rFonts w:ascii="仿宋_GB2312" w:eastAsia="仿宋_GB2312" w:hint="eastAsia"/>
          <w:sz w:val="30"/>
          <w:szCs w:val="30"/>
        </w:rPr>
        <w:t>手机</w:t>
      </w:r>
      <w:r w:rsidRPr="00B31006">
        <w:rPr>
          <w:rFonts w:ascii="仿宋_GB2312" w:eastAsia="仿宋_GB2312"/>
          <w:sz w:val="30"/>
          <w:szCs w:val="30"/>
        </w:rPr>
        <w:t>1</w:t>
      </w:r>
      <w:r w:rsidRPr="00B31006">
        <w:rPr>
          <w:rFonts w:ascii="仿宋_GB2312" w:eastAsia="仿宋_GB2312" w:hint="eastAsia"/>
          <w:sz w:val="30"/>
          <w:szCs w:val="30"/>
        </w:rPr>
        <w:t>部；被告人</w:t>
      </w:r>
      <w:r>
        <w:rPr>
          <w:rFonts w:ascii="仿宋_GB2312" w:eastAsia="仿宋_GB2312" w:hint="eastAsia"/>
          <w:sz w:val="30"/>
          <w:szCs w:val="30"/>
        </w:rPr>
        <w:t>张某</w:t>
      </w:r>
      <w:r w:rsidRPr="00B31006">
        <w:rPr>
          <w:rFonts w:ascii="仿宋_GB2312" w:eastAsia="仿宋_GB2312" w:hint="eastAsia"/>
          <w:sz w:val="30"/>
          <w:szCs w:val="30"/>
        </w:rPr>
        <w:t>：</w:t>
      </w:r>
      <w:r w:rsidRPr="00B31006">
        <w:rPr>
          <w:rFonts w:ascii="仿宋_GB2312" w:eastAsia="仿宋_GB2312"/>
          <w:sz w:val="30"/>
          <w:szCs w:val="30"/>
        </w:rPr>
        <w:t>vivoX6D</w:t>
      </w:r>
      <w:r w:rsidRPr="00B31006">
        <w:rPr>
          <w:rFonts w:ascii="仿宋_GB2312" w:eastAsia="仿宋_GB2312" w:hint="eastAsia"/>
          <w:sz w:val="30"/>
          <w:szCs w:val="30"/>
        </w:rPr>
        <w:t>手机</w:t>
      </w:r>
      <w:r w:rsidRPr="00B31006">
        <w:rPr>
          <w:rFonts w:ascii="仿宋_GB2312" w:eastAsia="仿宋_GB2312"/>
          <w:sz w:val="30"/>
          <w:szCs w:val="30"/>
        </w:rPr>
        <w:t>1</w:t>
      </w:r>
      <w:r w:rsidRPr="00B31006">
        <w:rPr>
          <w:rFonts w:ascii="仿宋_GB2312" w:eastAsia="仿宋_GB2312" w:hint="eastAsia"/>
          <w:sz w:val="30"/>
          <w:szCs w:val="30"/>
        </w:rPr>
        <w:t>部；被告人</w:t>
      </w:r>
      <w:r>
        <w:rPr>
          <w:rFonts w:ascii="仿宋_GB2312" w:eastAsia="仿宋_GB2312" w:hint="eastAsia"/>
          <w:sz w:val="30"/>
          <w:szCs w:val="30"/>
        </w:rPr>
        <w:t>凌某某</w:t>
      </w:r>
      <w:r w:rsidRPr="00B31006">
        <w:rPr>
          <w:rFonts w:ascii="仿宋_GB2312" w:eastAsia="仿宋_GB2312" w:hint="eastAsia"/>
          <w:sz w:val="30"/>
          <w:szCs w:val="30"/>
        </w:rPr>
        <w:t>：苹果</w:t>
      </w:r>
      <w:r w:rsidRPr="00B31006">
        <w:rPr>
          <w:rFonts w:ascii="仿宋_GB2312" w:eastAsia="仿宋_GB2312"/>
          <w:sz w:val="30"/>
          <w:szCs w:val="30"/>
        </w:rPr>
        <w:t>Iphone6s</w:t>
      </w:r>
      <w:r w:rsidRPr="00B31006">
        <w:rPr>
          <w:rFonts w:ascii="仿宋_GB2312" w:eastAsia="仿宋_GB2312" w:hint="eastAsia"/>
          <w:sz w:val="30"/>
          <w:szCs w:val="30"/>
        </w:rPr>
        <w:t>手机</w:t>
      </w:r>
      <w:r w:rsidRPr="00B31006">
        <w:rPr>
          <w:rFonts w:ascii="仿宋_GB2312" w:eastAsia="仿宋_GB2312"/>
          <w:sz w:val="30"/>
          <w:szCs w:val="30"/>
        </w:rPr>
        <w:t>1</w:t>
      </w:r>
      <w:r w:rsidRPr="00B31006">
        <w:rPr>
          <w:rFonts w:ascii="仿宋_GB2312" w:eastAsia="仿宋_GB2312" w:hint="eastAsia"/>
          <w:sz w:val="30"/>
          <w:szCs w:val="30"/>
        </w:rPr>
        <w:t>部）予以没收，上缴国库。对各被告人的违法所得予以追缴，上缴国库。</w:t>
      </w:r>
    </w:p>
    <w:p w:rsidR="00D906DC" w:rsidRPr="00B31006" w:rsidRDefault="00D906DC" w:rsidP="005F3E79">
      <w:pPr>
        <w:adjustRightInd w:val="0"/>
        <w:snapToGrid w:val="0"/>
        <w:spacing w:line="520" w:lineRule="exact"/>
        <w:ind w:firstLineChars="200" w:firstLine="600"/>
        <w:rPr>
          <w:rFonts w:ascii="仿宋_GB2312" w:eastAsia="仿宋_GB2312"/>
          <w:sz w:val="30"/>
          <w:szCs w:val="30"/>
        </w:rPr>
      </w:pPr>
      <w:r w:rsidRPr="00B31006">
        <w:rPr>
          <w:rFonts w:ascii="仿宋_GB2312" w:eastAsia="仿宋_GB2312" w:hint="eastAsia"/>
          <w:sz w:val="30"/>
          <w:szCs w:val="30"/>
        </w:rPr>
        <w:t>判决后，被告</w:t>
      </w:r>
      <w:r>
        <w:rPr>
          <w:rFonts w:ascii="仿宋_GB2312" w:eastAsia="仿宋_GB2312" w:hint="eastAsia"/>
          <w:sz w:val="30"/>
          <w:szCs w:val="30"/>
        </w:rPr>
        <w:t>人</w:t>
      </w:r>
      <w:r w:rsidRPr="00B31006">
        <w:rPr>
          <w:rFonts w:ascii="仿宋_GB2312" w:eastAsia="仿宋_GB2312" w:hint="eastAsia"/>
          <w:sz w:val="30"/>
          <w:szCs w:val="30"/>
        </w:rPr>
        <w:t>未</w:t>
      </w:r>
      <w:r>
        <w:rPr>
          <w:rFonts w:ascii="仿宋_GB2312" w:eastAsia="仿宋_GB2312" w:hint="eastAsia"/>
          <w:sz w:val="30"/>
          <w:szCs w:val="30"/>
        </w:rPr>
        <w:t>提起上诉</w:t>
      </w:r>
      <w:r w:rsidRPr="00B31006">
        <w:rPr>
          <w:rFonts w:ascii="仿宋_GB2312" w:eastAsia="仿宋_GB2312" w:hint="eastAsia"/>
          <w:sz w:val="30"/>
          <w:szCs w:val="30"/>
        </w:rPr>
        <w:t>。</w:t>
      </w:r>
    </w:p>
    <w:p w:rsidR="00D906DC" w:rsidRPr="00B31006" w:rsidRDefault="00D906DC" w:rsidP="005F3E79">
      <w:pPr>
        <w:adjustRightInd w:val="0"/>
        <w:snapToGrid w:val="0"/>
        <w:spacing w:line="520" w:lineRule="exact"/>
        <w:ind w:firstLineChars="200" w:firstLine="602"/>
        <w:rPr>
          <w:rFonts w:ascii="仿宋_GB2312" w:eastAsia="仿宋_GB2312"/>
          <w:b/>
          <w:bCs/>
          <w:sz w:val="30"/>
          <w:szCs w:val="30"/>
        </w:rPr>
      </w:pPr>
      <w:r w:rsidRPr="00B31006">
        <w:rPr>
          <w:rFonts w:ascii="仿宋_GB2312" w:eastAsia="仿宋_GB2312" w:hint="eastAsia"/>
          <w:b/>
          <w:bCs/>
          <w:sz w:val="30"/>
          <w:szCs w:val="30"/>
        </w:rPr>
        <w:t>【典型意义】</w:t>
      </w:r>
    </w:p>
    <w:p w:rsidR="00D906DC" w:rsidRDefault="00D906DC" w:rsidP="005F3E79">
      <w:pPr>
        <w:adjustRightInd w:val="0"/>
        <w:snapToGrid w:val="0"/>
        <w:spacing w:line="520" w:lineRule="exact"/>
        <w:ind w:firstLineChars="200" w:firstLine="600"/>
      </w:pPr>
      <w:r w:rsidRPr="00B31006">
        <w:rPr>
          <w:rFonts w:ascii="仿宋_GB2312" w:eastAsia="仿宋_GB2312" w:hint="eastAsia"/>
          <w:sz w:val="30"/>
          <w:szCs w:val="30"/>
        </w:rPr>
        <w:lastRenderedPageBreak/>
        <w:t>本案是一起被特许人在特许经营期间与他人分工合作共同犯罪，且在曾因相同违法行为受</w:t>
      </w:r>
      <w:r>
        <w:rPr>
          <w:rFonts w:ascii="仿宋_GB2312" w:eastAsia="仿宋_GB2312" w:hint="eastAsia"/>
          <w:sz w:val="30"/>
          <w:szCs w:val="30"/>
        </w:rPr>
        <w:t>到</w:t>
      </w:r>
      <w:r w:rsidRPr="00B31006">
        <w:rPr>
          <w:rFonts w:ascii="仿宋_GB2312" w:eastAsia="仿宋_GB2312" w:hint="eastAsia"/>
          <w:sz w:val="30"/>
          <w:szCs w:val="30"/>
        </w:rPr>
        <w:t>行政处罚后仍继续从事制售假冒特许人注册商标商品的典型案例。“才子”商标在服装领域具有较高知名度。被告人</w:t>
      </w:r>
      <w:r>
        <w:rPr>
          <w:rFonts w:ascii="仿宋_GB2312" w:eastAsia="仿宋_GB2312" w:hint="eastAsia"/>
          <w:sz w:val="30"/>
          <w:szCs w:val="30"/>
        </w:rPr>
        <w:t>顾某某</w:t>
      </w:r>
      <w:r w:rsidRPr="00B31006">
        <w:rPr>
          <w:rFonts w:ascii="仿宋_GB2312" w:eastAsia="仿宋_GB2312" w:hint="eastAsia"/>
          <w:sz w:val="30"/>
          <w:szCs w:val="30"/>
        </w:rPr>
        <w:t>与才子公司长期签订特许经营合同并在当地开设专卖店销售“才子”服装</w:t>
      </w:r>
      <w:r>
        <w:rPr>
          <w:rFonts w:ascii="仿宋_GB2312" w:eastAsia="仿宋_GB2312" w:hint="eastAsia"/>
          <w:sz w:val="30"/>
          <w:szCs w:val="30"/>
        </w:rPr>
        <w:t>。其</w:t>
      </w:r>
      <w:r w:rsidRPr="00B31006">
        <w:rPr>
          <w:rFonts w:ascii="仿宋_GB2312" w:eastAsia="仿宋_GB2312" w:hint="eastAsia"/>
          <w:sz w:val="30"/>
          <w:szCs w:val="30"/>
        </w:rPr>
        <w:t>在专卖店销售假冒“才子”服装被行政处罚后仍继续与其他被告人分工合作，通过购买“白胚”服装加贴假冒“才子”商标、吊牌等方式大规模生产、销售假冒“才子”服装</w:t>
      </w:r>
      <w:r>
        <w:rPr>
          <w:rFonts w:ascii="仿宋_GB2312" w:eastAsia="仿宋_GB2312" w:hint="eastAsia"/>
          <w:sz w:val="30"/>
          <w:szCs w:val="30"/>
        </w:rPr>
        <w:t>牟取非法利益</w:t>
      </w:r>
      <w:r w:rsidRPr="00B31006">
        <w:rPr>
          <w:rFonts w:ascii="仿宋_GB2312" w:eastAsia="仿宋_GB2312" w:hint="eastAsia"/>
          <w:sz w:val="30"/>
          <w:szCs w:val="30"/>
        </w:rPr>
        <w:t>，非法经营数额巨大</w:t>
      </w:r>
      <w:r>
        <w:rPr>
          <w:rFonts w:ascii="仿宋_GB2312" w:eastAsia="仿宋_GB2312" w:hint="eastAsia"/>
          <w:sz w:val="30"/>
          <w:szCs w:val="30"/>
        </w:rPr>
        <w:t>。</w:t>
      </w:r>
      <w:r w:rsidRPr="00B31006">
        <w:rPr>
          <w:rFonts w:ascii="仿宋_GB2312" w:eastAsia="仿宋_GB2312" w:hint="eastAsia"/>
          <w:sz w:val="30"/>
          <w:szCs w:val="30"/>
        </w:rPr>
        <w:t>即使被公安查扣的假冒服装的吊牌销售价总计</w:t>
      </w:r>
      <w:r w:rsidRPr="00B31006">
        <w:rPr>
          <w:rFonts w:ascii="仿宋_GB2312" w:eastAsia="仿宋_GB2312"/>
          <w:sz w:val="30"/>
          <w:szCs w:val="30"/>
        </w:rPr>
        <w:t>6578667</w:t>
      </w:r>
      <w:r w:rsidRPr="00B31006">
        <w:rPr>
          <w:rFonts w:ascii="仿宋_GB2312" w:eastAsia="仿宋_GB2312" w:hint="eastAsia"/>
          <w:sz w:val="30"/>
          <w:szCs w:val="30"/>
        </w:rPr>
        <w:t>元，按照被告人</w:t>
      </w:r>
      <w:r>
        <w:rPr>
          <w:rFonts w:ascii="仿宋_GB2312" w:eastAsia="仿宋_GB2312" w:hint="eastAsia"/>
          <w:sz w:val="30"/>
          <w:szCs w:val="30"/>
        </w:rPr>
        <w:t>顾某某</w:t>
      </w:r>
      <w:r w:rsidRPr="00B31006">
        <w:rPr>
          <w:rFonts w:ascii="仿宋_GB2312" w:eastAsia="仿宋_GB2312" w:hint="eastAsia"/>
          <w:sz w:val="30"/>
          <w:szCs w:val="30"/>
        </w:rPr>
        <w:t>从才子公司的产品批发价计算也达</w:t>
      </w:r>
      <w:r w:rsidRPr="00B31006">
        <w:rPr>
          <w:rFonts w:ascii="仿宋_GB2312" w:eastAsia="仿宋_GB2312"/>
          <w:sz w:val="30"/>
          <w:szCs w:val="30"/>
        </w:rPr>
        <w:t>2368320.12</w:t>
      </w:r>
      <w:r w:rsidRPr="00B31006">
        <w:rPr>
          <w:rFonts w:ascii="仿宋_GB2312" w:eastAsia="仿宋_GB2312" w:hint="eastAsia"/>
          <w:sz w:val="30"/>
          <w:szCs w:val="30"/>
        </w:rPr>
        <w:t>元。因此，被告人侵权性质十分恶劣、情节特别</w:t>
      </w:r>
      <w:r>
        <w:rPr>
          <w:rFonts w:ascii="仿宋_GB2312" w:eastAsia="仿宋_GB2312" w:hint="eastAsia"/>
          <w:sz w:val="30"/>
          <w:szCs w:val="30"/>
        </w:rPr>
        <w:t>严重</w:t>
      </w:r>
      <w:r w:rsidRPr="00B31006">
        <w:rPr>
          <w:rFonts w:ascii="仿宋_GB2312" w:eastAsia="仿宋_GB2312" w:hint="eastAsia"/>
          <w:sz w:val="30"/>
          <w:szCs w:val="30"/>
        </w:rPr>
        <w:t>，</w:t>
      </w:r>
      <w:r>
        <w:rPr>
          <w:rFonts w:ascii="仿宋_GB2312" w:eastAsia="仿宋_GB2312" w:hint="eastAsia"/>
          <w:sz w:val="30"/>
          <w:szCs w:val="30"/>
        </w:rPr>
        <w:t>顾某某</w:t>
      </w:r>
      <w:r w:rsidRPr="00B31006">
        <w:rPr>
          <w:rFonts w:ascii="仿宋_GB2312" w:eastAsia="仿宋_GB2312" w:hint="eastAsia"/>
          <w:sz w:val="30"/>
          <w:szCs w:val="30"/>
        </w:rPr>
        <w:t>虽然签署了认罪认罚具结书，但法院从严控制从宽幅度，判处其有期徒刑四年二个月，处以罚金七十万元，并根据其他被告人在共同犯罪中的作用及犯罪情节分别判处相应刑罚。本案判决体现了严厉打击假冒注册商标犯罪行为，维护诚信经营市场经济秩序的价值导向，也体现了宽严相济的刑事司法政策。</w:t>
      </w:r>
    </w:p>
    <w:p w:rsidR="00824208" w:rsidRPr="00BB1D60" w:rsidRDefault="00B262B6" w:rsidP="00824208">
      <w:pPr>
        <w:adjustRightInd w:val="0"/>
        <w:snapToGrid w:val="0"/>
        <w:spacing w:line="312" w:lineRule="auto"/>
        <w:jc w:val="center"/>
        <w:rPr>
          <w:rFonts w:eastAsia="方正小标宋简体"/>
          <w:b/>
          <w:bCs/>
          <w:sz w:val="32"/>
          <w:szCs w:val="32"/>
        </w:rPr>
      </w:pPr>
      <w:r>
        <w:rPr>
          <w:rFonts w:ascii="仿宋" w:eastAsia="仿宋" w:hAnsi="仿宋"/>
          <w:sz w:val="32"/>
          <w:szCs w:val="32"/>
        </w:rPr>
        <w:br w:type="page"/>
      </w:r>
      <w:r w:rsidR="00824208" w:rsidRPr="00BB1D60">
        <w:rPr>
          <w:b/>
          <w:bCs/>
          <w:sz w:val="32"/>
          <w:szCs w:val="32"/>
        </w:rPr>
        <w:lastRenderedPageBreak/>
        <w:t>Top Ten Cases on Judicial Protection of Intellectual Property Rights by Courts of Jiangsu Province in 2019</w:t>
      </w:r>
    </w:p>
    <w:p w:rsidR="00824208" w:rsidRPr="005A1DD1" w:rsidRDefault="00824208" w:rsidP="00824208">
      <w:pPr>
        <w:adjustRightInd w:val="0"/>
        <w:snapToGrid w:val="0"/>
        <w:spacing w:line="312" w:lineRule="auto"/>
        <w:rPr>
          <w:rFonts w:eastAsia="方正小标宋简体"/>
          <w:sz w:val="28"/>
          <w:szCs w:val="28"/>
        </w:rPr>
      </w:pPr>
    </w:p>
    <w:p w:rsidR="00824208" w:rsidRPr="005A1DD1" w:rsidRDefault="00824208" w:rsidP="00824208">
      <w:pPr>
        <w:adjustRightInd w:val="0"/>
        <w:snapToGrid w:val="0"/>
        <w:spacing w:line="312" w:lineRule="auto"/>
        <w:rPr>
          <w:rFonts w:eastAsia="方正小标宋简体"/>
          <w:sz w:val="28"/>
          <w:szCs w:val="28"/>
        </w:rPr>
      </w:pPr>
      <w:r w:rsidRPr="005A1DD1">
        <w:rPr>
          <w:sz w:val="28"/>
          <w:szCs w:val="28"/>
        </w:rPr>
        <w:t>Civil Cases</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1. A case involving the determination of copyright infringement for </w:t>
      </w:r>
      <w:r w:rsidRPr="009E727F">
        <w:rPr>
          <w:sz w:val="28"/>
          <w:szCs w:val="28"/>
        </w:rPr>
        <w:t xml:space="preserve">plagiarism by only changing the </w:t>
      </w:r>
      <w:r>
        <w:rPr>
          <w:sz w:val="28"/>
          <w:szCs w:val="28"/>
        </w:rPr>
        <w:t xml:space="preserve">game’s skin </w:t>
      </w:r>
      <w:r w:rsidR="00AB5206">
        <w:rPr>
          <w:rFonts w:hint="eastAsia"/>
          <w:sz w:val="28"/>
          <w:szCs w:val="28"/>
        </w:rPr>
        <w:t>or</w:t>
      </w:r>
      <w:r>
        <w:rPr>
          <w:sz w:val="28"/>
          <w:szCs w:val="28"/>
        </w:rPr>
        <w:t xml:space="preserve"> clothes</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—Suzhou Snail Digital Technology Co., Ltd. </w:t>
      </w:r>
      <w:r>
        <w:rPr>
          <w:sz w:val="28"/>
          <w:szCs w:val="28"/>
        </w:rPr>
        <w:t>v.</w:t>
      </w:r>
      <w:r w:rsidRPr="005A1DD1">
        <w:rPr>
          <w:sz w:val="28"/>
          <w:szCs w:val="28"/>
        </w:rPr>
        <w:t xml:space="preserve"> Chengdu Skymoons Technology Co., Ltd. and Beijing IQIYI Science &amp; Technology Co., Ltd.</w:t>
      </w:r>
      <w:r>
        <w:rPr>
          <w:sz w:val="28"/>
          <w:szCs w:val="28"/>
        </w:rPr>
        <w:t>: Case of D</w:t>
      </w:r>
      <w:r w:rsidRPr="005A1DD1">
        <w:rPr>
          <w:sz w:val="28"/>
          <w:szCs w:val="28"/>
        </w:rPr>
        <w:t xml:space="preserve">ispute over </w:t>
      </w:r>
      <w:r>
        <w:rPr>
          <w:sz w:val="28"/>
          <w:szCs w:val="28"/>
        </w:rPr>
        <w:t>C</w:t>
      </w:r>
      <w:r w:rsidRPr="005A1DD1">
        <w:rPr>
          <w:sz w:val="28"/>
          <w:szCs w:val="28"/>
        </w:rPr>
        <w:t xml:space="preserve">opyright </w:t>
      </w:r>
      <w:r>
        <w:rPr>
          <w:sz w:val="28"/>
          <w:szCs w:val="28"/>
        </w:rPr>
        <w:t>I</w:t>
      </w:r>
      <w:r w:rsidRPr="005A1DD1">
        <w:rPr>
          <w:sz w:val="28"/>
          <w:szCs w:val="28"/>
        </w:rPr>
        <w:t>nfringement</w:t>
      </w:r>
      <w:r w:rsidR="001C7413">
        <w:rPr>
          <w:sz w:val="28"/>
          <w:szCs w:val="28"/>
        </w:rPr>
        <w:t>……………………………………...</w:t>
      </w:r>
      <w:r w:rsidR="007D157E">
        <w:rPr>
          <w:rFonts w:hint="eastAsia"/>
          <w:sz w:val="28"/>
          <w:szCs w:val="28"/>
        </w:rPr>
        <w:t>086</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2. A case</w:t>
      </w:r>
      <w:r w:rsidRPr="00636171">
        <w:rPr>
          <w:sz w:val="28"/>
          <w:szCs w:val="28"/>
        </w:rPr>
        <w:t xml:space="preserve"> involving </w:t>
      </w:r>
      <w:r w:rsidRPr="005A1DD1">
        <w:rPr>
          <w:sz w:val="28"/>
          <w:szCs w:val="28"/>
        </w:rPr>
        <w:t>the determination of</w:t>
      </w:r>
      <w:r w:rsidRPr="00636171">
        <w:rPr>
          <w:sz w:val="28"/>
          <w:szCs w:val="28"/>
        </w:rPr>
        <w:t xml:space="preserve"> copyright infringement</w:t>
      </w:r>
      <w:r>
        <w:rPr>
          <w:sz w:val="28"/>
          <w:szCs w:val="28"/>
        </w:rPr>
        <w:t xml:space="preserve"> formaking </w:t>
      </w:r>
      <w:r w:rsidRPr="005A1DD1">
        <w:rPr>
          <w:sz w:val="28"/>
          <w:szCs w:val="28"/>
        </w:rPr>
        <w:t xml:space="preserve">a Suzhou Embroidery </w:t>
      </w:r>
      <w:r>
        <w:rPr>
          <w:sz w:val="28"/>
          <w:szCs w:val="28"/>
        </w:rPr>
        <w:t>w</w:t>
      </w:r>
      <w:r w:rsidRPr="005A1DD1">
        <w:rPr>
          <w:sz w:val="28"/>
          <w:szCs w:val="28"/>
        </w:rPr>
        <w:t xml:space="preserve">ork </w:t>
      </w:r>
      <w:r>
        <w:rPr>
          <w:sz w:val="28"/>
          <w:szCs w:val="28"/>
        </w:rPr>
        <w:t xml:space="preserve">based </w:t>
      </w:r>
      <w:r w:rsidRPr="005A1DD1">
        <w:rPr>
          <w:sz w:val="28"/>
          <w:szCs w:val="28"/>
        </w:rPr>
        <w:t xml:space="preserve">on a </w:t>
      </w:r>
      <w:r>
        <w:rPr>
          <w:sz w:val="28"/>
          <w:szCs w:val="28"/>
        </w:rPr>
        <w:t>p</w:t>
      </w:r>
      <w:r w:rsidRPr="005A1DD1">
        <w:rPr>
          <w:sz w:val="28"/>
          <w:szCs w:val="28"/>
        </w:rPr>
        <w:t>ainting</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—Cao Xinhua v. Pu Fengjuan: Case of Dispute over Copyright Infringement</w:t>
      </w:r>
      <w:r w:rsidR="001C7413">
        <w:rPr>
          <w:sz w:val="28"/>
          <w:szCs w:val="28"/>
        </w:rPr>
        <w:t>…………………………………………………………………..</w:t>
      </w:r>
      <w:r w:rsidR="007D157E">
        <w:rPr>
          <w:rFonts w:hint="eastAsia"/>
          <w:sz w:val="28"/>
          <w:szCs w:val="28"/>
        </w:rPr>
        <w:t>103</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3. </w:t>
      </w:r>
      <w:r>
        <w:rPr>
          <w:sz w:val="28"/>
          <w:szCs w:val="28"/>
        </w:rPr>
        <w:t>A case involving the</w:t>
      </w:r>
      <w:r w:rsidRPr="005A1DD1">
        <w:rPr>
          <w:sz w:val="28"/>
          <w:szCs w:val="28"/>
        </w:rPr>
        <w:t xml:space="preserve"> determination of Baidu Netdisk's infringement </w:t>
      </w:r>
      <w:r>
        <w:rPr>
          <w:sz w:val="28"/>
          <w:szCs w:val="28"/>
        </w:rPr>
        <w:t>on</w:t>
      </w:r>
      <w:r w:rsidRPr="005A1DD1">
        <w:rPr>
          <w:sz w:val="28"/>
          <w:szCs w:val="28"/>
        </w:rPr>
        <w:t xml:space="preserve"> the right of information dissemination through network</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—Nanjing Branch of Beijing Spot Interaction Information Service Co., Ltd. </w:t>
      </w:r>
      <w:r>
        <w:rPr>
          <w:sz w:val="28"/>
          <w:szCs w:val="28"/>
        </w:rPr>
        <w:t>v.</w:t>
      </w:r>
      <w:r w:rsidRPr="005A1DD1">
        <w:rPr>
          <w:sz w:val="28"/>
          <w:szCs w:val="28"/>
        </w:rPr>
        <w:t xml:space="preserve"> Beijing Baidu Netcom Science and Technology Co., Ltd.</w:t>
      </w:r>
      <w:r>
        <w:rPr>
          <w:sz w:val="28"/>
          <w:szCs w:val="28"/>
        </w:rPr>
        <w:t>: Case of Dispute over I</w:t>
      </w:r>
      <w:r w:rsidRPr="005A1DD1">
        <w:rPr>
          <w:sz w:val="28"/>
          <w:szCs w:val="28"/>
        </w:rPr>
        <w:t xml:space="preserve">nfringement </w:t>
      </w:r>
      <w:r>
        <w:rPr>
          <w:sz w:val="28"/>
          <w:szCs w:val="28"/>
        </w:rPr>
        <w:t>on</w:t>
      </w:r>
      <w:r w:rsidRPr="005A1DD1">
        <w:rPr>
          <w:sz w:val="28"/>
          <w:szCs w:val="28"/>
        </w:rPr>
        <w:t xml:space="preserve"> the </w:t>
      </w:r>
      <w:r>
        <w:rPr>
          <w:sz w:val="28"/>
          <w:szCs w:val="28"/>
        </w:rPr>
        <w:t>R</w:t>
      </w:r>
      <w:r w:rsidRPr="005A1DD1">
        <w:rPr>
          <w:sz w:val="28"/>
          <w:szCs w:val="28"/>
        </w:rPr>
        <w:t xml:space="preserve">ight of </w:t>
      </w:r>
      <w:r>
        <w:rPr>
          <w:sz w:val="28"/>
          <w:szCs w:val="28"/>
        </w:rPr>
        <w:t>I</w:t>
      </w:r>
      <w:r w:rsidRPr="005A1DD1">
        <w:rPr>
          <w:sz w:val="28"/>
          <w:szCs w:val="28"/>
        </w:rPr>
        <w:t xml:space="preserve">nformation </w:t>
      </w:r>
      <w:r>
        <w:rPr>
          <w:sz w:val="28"/>
          <w:szCs w:val="28"/>
        </w:rPr>
        <w:t>D</w:t>
      </w:r>
      <w:r w:rsidRPr="005A1DD1">
        <w:rPr>
          <w:sz w:val="28"/>
          <w:szCs w:val="28"/>
        </w:rPr>
        <w:t xml:space="preserve">issemination through </w:t>
      </w:r>
      <w:r>
        <w:rPr>
          <w:sz w:val="28"/>
          <w:szCs w:val="28"/>
        </w:rPr>
        <w:t>N</w:t>
      </w:r>
      <w:r w:rsidRPr="005A1DD1">
        <w:rPr>
          <w:sz w:val="28"/>
          <w:szCs w:val="28"/>
        </w:rPr>
        <w:t>etwork</w:t>
      </w:r>
      <w:r w:rsidR="00CF2C47">
        <w:rPr>
          <w:sz w:val="28"/>
          <w:szCs w:val="28"/>
        </w:rPr>
        <w:t>……………………………………………………………………….1</w:t>
      </w:r>
      <w:r w:rsidR="007D157E">
        <w:rPr>
          <w:rFonts w:hint="eastAsia"/>
          <w:sz w:val="28"/>
          <w:szCs w:val="28"/>
        </w:rPr>
        <w:t>12</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4. </w:t>
      </w:r>
      <w:r>
        <w:rPr>
          <w:sz w:val="28"/>
          <w:szCs w:val="28"/>
        </w:rPr>
        <w:t>A</w:t>
      </w:r>
      <w:r w:rsidRPr="005A1DD1">
        <w:rPr>
          <w:sz w:val="28"/>
          <w:szCs w:val="28"/>
        </w:rPr>
        <w:t xml:space="preserve"> case </w:t>
      </w:r>
      <w:r>
        <w:rPr>
          <w:sz w:val="28"/>
          <w:szCs w:val="28"/>
        </w:rPr>
        <w:t>involving</w:t>
      </w:r>
      <w:r w:rsidRPr="005A1DD1">
        <w:rPr>
          <w:sz w:val="28"/>
          <w:szCs w:val="28"/>
        </w:rPr>
        <w:t xml:space="preserve"> the highest amount of damages</w:t>
      </w:r>
      <w:r>
        <w:rPr>
          <w:sz w:val="28"/>
          <w:szCs w:val="28"/>
        </w:rPr>
        <w:t xml:space="preserve"> awarded</w:t>
      </w:r>
      <w:r w:rsidRPr="005A1DD1">
        <w:rPr>
          <w:sz w:val="28"/>
          <w:szCs w:val="28"/>
        </w:rPr>
        <w:t xml:space="preserve"> in China applying the punitive compensation system to protect the well-known trademark "</w:t>
      </w:r>
      <w:r w:rsidRPr="005A1DD1">
        <w:rPr>
          <w:sz w:val="28"/>
          <w:szCs w:val="28"/>
        </w:rPr>
        <w:t>小米</w:t>
      </w:r>
      <w:r w:rsidRPr="005A1DD1">
        <w:rPr>
          <w:sz w:val="28"/>
          <w:szCs w:val="28"/>
        </w:rPr>
        <w:t>" after the revision of the Trademark Law</w:t>
      </w:r>
    </w:p>
    <w:p w:rsidR="00824208" w:rsidRPr="005A1DD1" w:rsidRDefault="00824208" w:rsidP="00824208">
      <w:pPr>
        <w:adjustRightInd w:val="0"/>
        <w:snapToGrid w:val="0"/>
        <w:spacing w:line="312" w:lineRule="auto"/>
        <w:ind w:firstLineChars="200" w:firstLine="560"/>
        <w:rPr>
          <w:rFonts w:eastAsia="仿宋_GB2312"/>
          <w:sz w:val="28"/>
          <w:szCs w:val="28"/>
        </w:rPr>
      </w:pPr>
      <w:bookmarkStart w:id="27" w:name="_Hlk32746009"/>
      <w:r w:rsidRPr="005A1DD1">
        <w:rPr>
          <w:sz w:val="28"/>
          <w:szCs w:val="28"/>
        </w:rPr>
        <w:t>—Xiaomi Technology Co., Ltd. et al. v. Zhongshan Povos Appliances Co., Ltd. et al.: Case of Dispute over Trademark Infringement and Unfair Competition</w:t>
      </w:r>
      <w:bookmarkEnd w:id="27"/>
      <w:r w:rsidR="00CF2C47">
        <w:rPr>
          <w:sz w:val="28"/>
          <w:szCs w:val="28"/>
        </w:rPr>
        <w:t>…………………………………………………………………...1</w:t>
      </w:r>
      <w:r w:rsidR="007D157E">
        <w:rPr>
          <w:rFonts w:hint="eastAsia"/>
          <w:sz w:val="28"/>
          <w:szCs w:val="28"/>
        </w:rPr>
        <w:t>23</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5. A case applying the punitive compensation system for malicious registration and use of trademarks</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—Bridgestone Corporation v. Liangshan Shuihu Tires Co., Ltd. et al.: Case of Dispute over Trademark Infringement</w:t>
      </w:r>
      <w:r w:rsidR="00CF2C47">
        <w:rPr>
          <w:sz w:val="28"/>
          <w:szCs w:val="28"/>
        </w:rPr>
        <w:t>……………………………………..1</w:t>
      </w:r>
      <w:r w:rsidR="007D157E">
        <w:rPr>
          <w:rFonts w:hint="eastAsia"/>
          <w:sz w:val="28"/>
          <w:szCs w:val="28"/>
        </w:rPr>
        <w:t>37</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6. A case involving the identification of the unique name of well-known </w:t>
      </w:r>
      <w:r w:rsidRPr="005A1DD1">
        <w:rPr>
          <w:sz w:val="28"/>
          <w:szCs w:val="28"/>
        </w:rPr>
        <w:lastRenderedPageBreak/>
        <w:t>commodity "The Ghouls" and its rights ownership</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—Shanghai Xuanting Entertainment Information Technology Co., Ltd., Xuzhou Branch v. Zhang Muye et al.: Case of Dispute over Unfair Competition</w:t>
      </w:r>
      <w:r w:rsidR="007711FB">
        <w:rPr>
          <w:sz w:val="28"/>
          <w:szCs w:val="28"/>
        </w:rPr>
        <w:t>…………………………………………………………………...1</w:t>
      </w:r>
      <w:r w:rsidR="007D157E">
        <w:rPr>
          <w:rFonts w:hint="eastAsia"/>
          <w:sz w:val="28"/>
          <w:szCs w:val="28"/>
        </w:rPr>
        <w:t>46</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7. A case involving application for advanced </w:t>
      </w:r>
      <w:r>
        <w:rPr>
          <w:sz w:val="28"/>
          <w:szCs w:val="28"/>
        </w:rPr>
        <w:t>resumption</w:t>
      </w:r>
      <w:r w:rsidRPr="005A1DD1">
        <w:rPr>
          <w:sz w:val="28"/>
          <w:szCs w:val="28"/>
        </w:rPr>
        <w:t xml:space="preserve"> of deleted online sales links based on malicious complaints</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—Zhengzhou Yetou Network Technology Co., Ltd. v. Ding Xiaomei and Zhejiang Tmall Network Co., Ltd. et al.: Case Involving Advance Execution for Infringement </w:t>
      </w:r>
      <w:r>
        <w:rPr>
          <w:sz w:val="28"/>
          <w:szCs w:val="28"/>
        </w:rPr>
        <w:t>on</w:t>
      </w:r>
      <w:r w:rsidRPr="005A1DD1">
        <w:rPr>
          <w:sz w:val="28"/>
          <w:szCs w:val="28"/>
        </w:rPr>
        <w:t xml:space="preserve"> Design Patent</w:t>
      </w:r>
      <w:r w:rsidR="007711FB">
        <w:rPr>
          <w:sz w:val="28"/>
          <w:szCs w:val="28"/>
        </w:rPr>
        <w:t>………………………………………………..</w:t>
      </w:r>
      <w:r w:rsidR="007D157E">
        <w:rPr>
          <w:rFonts w:hint="eastAsia"/>
          <w:sz w:val="28"/>
          <w:szCs w:val="28"/>
        </w:rPr>
        <w:t>159</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8. A case involving the filing of an intellectual property lawsuit maliciously under the circumstance of knowing the absence of legitimate rights</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—SuqianYanghe Town Tianxiaxiu Winery Industry Co., Ltd. v. SuqianYanghe Town Yuyuan Brewery Factory: Case of Dispute over Liability for Damages Arising from Malicious Intellectual </w:t>
      </w:r>
      <w:r>
        <w:rPr>
          <w:sz w:val="28"/>
          <w:szCs w:val="28"/>
        </w:rPr>
        <w:t>P</w:t>
      </w:r>
      <w:r w:rsidRPr="005A1DD1">
        <w:rPr>
          <w:sz w:val="28"/>
          <w:szCs w:val="28"/>
        </w:rPr>
        <w:t>roperty Lawsuit</w:t>
      </w:r>
      <w:r w:rsidR="007711FB">
        <w:rPr>
          <w:sz w:val="28"/>
          <w:szCs w:val="28"/>
        </w:rPr>
        <w:t>……………</w:t>
      </w:r>
      <w:r w:rsidR="007D157E">
        <w:rPr>
          <w:sz w:val="28"/>
          <w:szCs w:val="28"/>
        </w:rPr>
        <w:t>…………………………………………………………</w:t>
      </w:r>
      <w:r w:rsidR="007D157E">
        <w:rPr>
          <w:rFonts w:hint="eastAsia"/>
          <w:sz w:val="28"/>
          <w:szCs w:val="28"/>
        </w:rPr>
        <w:t>..165</w:t>
      </w:r>
    </w:p>
    <w:p w:rsidR="00824208" w:rsidRPr="005A1DD1" w:rsidRDefault="00824208" w:rsidP="00824208">
      <w:pPr>
        <w:adjustRightInd w:val="0"/>
        <w:snapToGrid w:val="0"/>
        <w:spacing w:line="312" w:lineRule="auto"/>
        <w:rPr>
          <w:rFonts w:eastAsia="方正小标宋简体"/>
          <w:sz w:val="28"/>
          <w:szCs w:val="28"/>
        </w:rPr>
      </w:pPr>
    </w:p>
    <w:p w:rsidR="00824208" w:rsidRPr="005A1DD1" w:rsidRDefault="00824208" w:rsidP="00824208">
      <w:pPr>
        <w:adjustRightInd w:val="0"/>
        <w:snapToGrid w:val="0"/>
        <w:spacing w:line="312" w:lineRule="auto"/>
        <w:rPr>
          <w:rFonts w:eastAsia="方正小标宋简体"/>
          <w:sz w:val="28"/>
          <w:szCs w:val="28"/>
        </w:rPr>
      </w:pPr>
      <w:r w:rsidRPr="005A1DD1">
        <w:rPr>
          <w:sz w:val="28"/>
          <w:szCs w:val="28"/>
        </w:rPr>
        <w:t>Criminal Cases</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9. A case involving the crime of counterfeitingregistered trademark jointly committed by the design director and the distributor of an enterprise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—Case where the Defendants Lin, Shen Xkang, and Yu Committed the Crime of Counterfeiting Registered Trademark, and the Defendant Shen Xjuan Committed the Crime of Counterfeiting Registered Trademark and Duty Encroachment</w:t>
      </w:r>
      <w:r w:rsidR="007711FB">
        <w:rPr>
          <w:sz w:val="28"/>
          <w:szCs w:val="28"/>
        </w:rPr>
        <w:t>………………………………………………………………....</w:t>
      </w:r>
      <w:r w:rsidR="007D157E">
        <w:rPr>
          <w:rFonts w:hint="eastAsia"/>
          <w:sz w:val="28"/>
          <w:szCs w:val="28"/>
        </w:rPr>
        <w:t>174</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10. A case involving franchisee counterfeiting the registered trademark of franchiser</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—Case Involving the </w:t>
      </w:r>
      <w:r>
        <w:rPr>
          <w:sz w:val="28"/>
          <w:szCs w:val="28"/>
        </w:rPr>
        <w:t>C</w:t>
      </w:r>
      <w:r w:rsidRPr="005A1DD1">
        <w:rPr>
          <w:sz w:val="28"/>
          <w:szCs w:val="28"/>
        </w:rPr>
        <w:t xml:space="preserve">rime of </w:t>
      </w:r>
      <w:r>
        <w:rPr>
          <w:sz w:val="28"/>
          <w:szCs w:val="28"/>
        </w:rPr>
        <w:t>C</w:t>
      </w:r>
      <w:r w:rsidRPr="005A1DD1">
        <w:rPr>
          <w:sz w:val="28"/>
          <w:szCs w:val="28"/>
        </w:rPr>
        <w:t xml:space="preserve">ounterfeiting </w:t>
      </w:r>
      <w:r>
        <w:rPr>
          <w:sz w:val="28"/>
          <w:szCs w:val="28"/>
        </w:rPr>
        <w:t>R</w:t>
      </w:r>
      <w:r w:rsidRPr="005A1DD1">
        <w:rPr>
          <w:sz w:val="28"/>
          <w:szCs w:val="28"/>
        </w:rPr>
        <w:t xml:space="preserve">egistered </w:t>
      </w:r>
      <w:r>
        <w:rPr>
          <w:sz w:val="28"/>
          <w:szCs w:val="28"/>
        </w:rPr>
        <w:t>T</w:t>
      </w:r>
      <w:r w:rsidRPr="005A1DD1">
        <w:rPr>
          <w:sz w:val="28"/>
          <w:szCs w:val="28"/>
        </w:rPr>
        <w:t>rademark Committed by Defendants Gu, Zhang, and Ling</w:t>
      </w:r>
      <w:r w:rsidR="00102D86">
        <w:rPr>
          <w:sz w:val="28"/>
          <w:szCs w:val="28"/>
        </w:rPr>
        <w:t>……………………………..</w:t>
      </w:r>
      <w:r w:rsidR="007D157E">
        <w:rPr>
          <w:rFonts w:hint="eastAsia"/>
          <w:sz w:val="28"/>
          <w:szCs w:val="28"/>
        </w:rPr>
        <w:t>181</w:t>
      </w:r>
    </w:p>
    <w:p w:rsidR="00824208" w:rsidRPr="005A1DD1" w:rsidRDefault="00824208" w:rsidP="00824208">
      <w:pPr>
        <w:adjustRightInd w:val="0"/>
        <w:snapToGrid w:val="0"/>
        <w:spacing w:line="312" w:lineRule="auto"/>
        <w:rPr>
          <w:rFonts w:eastAsia="方正小标宋简体"/>
          <w:sz w:val="28"/>
          <w:szCs w:val="28"/>
        </w:rPr>
      </w:pPr>
    </w:p>
    <w:p w:rsidR="00824208" w:rsidRPr="005A1DD1" w:rsidRDefault="00824208" w:rsidP="00824208">
      <w:pPr>
        <w:adjustRightInd w:val="0"/>
        <w:snapToGrid w:val="0"/>
        <w:spacing w:line="312" w:lineRule="auto"/>
        <w:rPr>
          <w:rFonts w:eastAsia="黑体"/>
          <w:sz w:val="28"/>
          <w:szCs w:val="28"/>
        </w:rPr>
      </w:pPr>
      <w:r w:rsidRPr="005A1DD1">
        <w:rPr>
          <w:sz w:val="28"/>
          <w:szCs w:val="28"/>
        </w:rPr>
        <w:br w:type="page"/>
      </w:r>
      <w:r w:rsidRPr="005A1DD1">
        <w:rPr>
          <w:sz w:val="28"/>
          <w:szCs w:val="28"/>
        </w:rPr>
        <w:lastRenderedPageBreak/>
        <w:t xml:space="preserve">1. </w:t>
      </w:r>
      <w:r w:rsidRPr="004E3F7F">
        <w:rPr>
          <w:sz w:val="28"/>
          <w:szCs w:val="28"/>
        </w:rPr>
        <w:t xml:space="preserve">A case involving the determination of copyright infringement for plagiarism by only changing the </w:t>
      </w:r>
      <w:r>
        <w:rPr>
          <w:sz w:val="28"/>
          <w:szCs w:val="28"/>
        </w:rPr>
        <w:t xml:space="preserve">game’s skin </w:t>
      </w:r>
      <w:r w:rsidR="00AB5206">
        <w:rPr>
          <w:rFonts w:hint="eastAsia"/>
          <w:sz w:val="28"/>
          <w:szCs w:val="28"/>
        </w:rPr>
        <w:t>or</w:t>
      </w:r>
      <w:r>
        <w:rPr>
          <w:sz w:val="28"/>
          <w:szCs w:val="28"/>
        </w:rPr>
        <w:t xml:space="preserve"> clothes</w:t>
      </w:r>
    </w:p>
    <w:p w:rsidR="00824208" w:rsidRPr="005A1DD1" w:rsidRDefault="00824208" w:rsidP="00824208">
      <w:pPr>
        <w:adjustRightInd w:val="0"/>
        <w:snapToGrid w:val="0"/>
        <w:spacing w:line="312" w:lineRule="auto"/>
        <w:rPr>
          <w:rFonts w:eastAsia="仿宋_GB2312"/>
          <w:sz w:val="28"/>
          <w:szCs w:val="28"/>
        </w:rPr>
      </w:pPr>
      <w:r w:rsidRPr="004E3F7F">
        <w:rPr>
          <w:rFonts w:hint="eastAsia"/>
          <w:sz w:val="28"/>
          <w:szCs w:val="28"/>
        </w:rPr>
        <w:t>—</w:t>
      </w:r>
      <w:r w:rsidRPr="004E3F7F">
        <w:rPr>
          <w:sz w:val="28"/>
          <w:szCs w:val="28"/>
        </w:rPr>
        <w:t>Suzhou Snail Digital Technology Co., Ltd. v. Chengdu Skymoons Technology Co., Ltd. and Beijing IQIYI Science &amp; Technology Co., Ltd.: Case of Dispute over Copyright Infringement</w:t>
      </w:r>
    </w:p>
    <w:p w:rsidR="00824208" w:rsidRPr="005A1DD1" w:rsidRDefault="00824208" w:rsidP="00824208">
      <w:pPr>
        <w:adjustRightInd w:val="0"/>
        <w:snapToGrid w:val="0"/>
        <w:spacing w:line="312" w:lineRule="auto"/>
        <w:ind w:firstLineChars="200" w:firstLine="560"/>
        <w:rPr>
          <w:rFonts w:eastAsia="仿宋_GB2312"/>
          <w:sz w:val="28"/>
          <w:szCs w:val="28"/>
        </w:rPr>
      </w:pP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[Case Information]</w:t>
      </w:r>
    </w:p>
    <w:p w:rsidR="00824208" w:rsidRPr="005A1DD1" w:rsidRDefault="00824208" w:rsidP="00824208">
      <w:pPr>
        <w:adjustRightInd w:val="0"/>
        <w:snapToGrid w:val="0"/>
        <w:spacing w:line="312" w:lineRule="auto"/>
        <w:ind w:leftChars="267" w:left="2241" w:hangingChars="600" w:hanging="1680"/>
        <w:rPr>
          <w:rFonts w:eastAsia="仿宋_GB2312"/>
          <w:sz w:val="28"/>
          <w:szCs w:val="28"/>
        </w:rPr>
      </w:pPr>
      <w:r w:rsidRPr="005A1DD1">
        <w:rPr>
          <w:sz w:val="28"/>
          <w:szCs w:val="28"/>
        </w:rPr>
        <w:t xml:space="preserve">Case No.: </w:t>
      </w:r>
      <w:r>
        <w:rPr>
          <w:sz w:val="28"/>
          <w:szCs w:val="28"/>
        </w:rPr>
        <w:tab/>
      </w:r>
      <w:r w:rsidRPr="005A1DD1">
        <w:rPr>
          <w:sz w:val="28"/>
          <w:szCs w:val="28"/>
        </w:rPr>
        <w:t>Suzhou Intermediate People's Court (2015) S.Z.Z.M.C. Zi No. 00201</w:t>
      </w:r>
    </w:p>
    <w:p w:rsidR="00824208" w:rsidRPr="005A1DD1" w:rsidRDefault="00824208" w:rsidP="00824208">
      <w:pPr>
        <w:adjustRightInd w:val="0"/>
        <w:snapToGrid w:val="0"/>
        <w:spacing w:line="312" w:lineRule="auto"/>
        <w:ind w:left="561" w:firstLineChars="600" w:firstLine="1680"/>
        <w:rPr>
          <w:rFonts w:eastAsia="仿宋_GB2312"/>
          <w:sz w:val="28"/>
          <w:szCs w:val="28"/>
        </w:rPr>
      </w:pPr>
      <w:r w:rsidRPr="005A1DD1">
        <w:rPr>
          <w:sz w:val="28"/>
          <w:szCs w:val="28"/>
        </w:rPr>
        <w:t>Jiangsu High People</w:t>
      </w:r>
      <w:r>
        <w:rPr>
          <w:sz w:val="28"/>
          <w:szCs w:val="28"/>
        </w:rPr>
        <w:t>'</w:t>
      </w:r>
      <w:r w:rsidRPr="005A1DD1">
        <w:rPr>
          <w:sz w:val="28"/>
          <w:szCs w:val="28"/>
        </w:rPr>
        <w:t>s Court (2018) S.M.Z. No.1054</w:t>
      </w:r>
    </w:p>
    <w:p w:rsidR="00824208" w:rsidRPr="005A1DD1" w:rsidRDefault="00824208" w:rsidP="00824208">
      <w:pPr>
        <w:adjustRightInd w:val="0"/>
        <w:snapToGrid w:val="0"/>
        <w:spacing w:line="312" w:lineRule="auto"/>
        <w:ind w:leftChars="267" w:left="2241" w:hangingChars="600" w:hanging="1680"/>
        <w:rPr>
          <w:rFonts w:eastAsia="仿宋_GB2312"/>
          <w:sz w:val="28"/>
          <w:szCs w:val="28"/>
        </w:rPr>
      </w:pPr>
      <w:r w:rsidRPr="005A1DD1">
        <w:rPr>
          <w:sz w:val="28"/>
          <w:szCs w:val="28"/>
        </w:rPr>
        <w:t>Plaintiff:</w:t>
      </w:r>
      <w:r>
        <w:rPr>
          <w:sz w:val="28"/>
          <w:szCs w:val="28"/>
        </w:rPr>
        <w:tab/>
      </w:r>
      <w:r w:rsidRPr="005A1DD1">
        <w:rPr>
          <w:sz w:val="28"/>
          <w:szCs w:val="28"/>
        </w:rPr>
        <w:t>Suzhou Snail Digital Technology Co., Ltd.</w:t>
      </w:r>
    </w:p>
    <w:p w:rsidR="00824208" w:rsidRPr="005A1DD1" w:rsidRDefault="00824208" w:rsidP="00824208">
      <w:pPr>
        <w:adjustRightInd w:val="0"/>
        <w:snapToGrid w:val="0"/>
        <w:spacing w:line="312" w:lineRule="auto"/>
        <w:ind w:leftChars="267" w:left="2241" w:hangingChars="600" w:hanging="1680"/>
        <w:rPr>
          <w:rFonts w:eastAsia="仿宋_GB2312"/>
          <w:sz w:val="28"/>
          <w:szCs w:val="28"/>
        </w:rPr>
      </w:pPr>
      <w:r w:rsidRPr="005A1DD1">
        <w:rPr>
          <w:sz w:val="28"/>
          <w:szCs w:val="28"/>
        </w:rPr>
        <w:t>Defendants:</w:t>
      </w:r>
      <w:r>
        <w:rPr>
          <w:sz w:val="28"/>
          <w:szCs w:val="28"/>
        </w:rPr>
        <w:tab/>
      </w:r>
      <w:r w:rsidRPr="005A1DD1">
        <w:rPr>
          <w:sz w:val="28"/>
          <w:szCs w:val="28"/>
        </w:rPr>
        <w:t>Chengdu Skymoons Technology Co., Ltd. and Beijing IQIYI Science &amp; Technology Co., Ltd.</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[Adjudication Gist]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The "expression" protected by the Copyright Law refers not only to "expression form", but also to original "expression content". Online games use the designs of original interface layout, text, interaction, etc., as well as the designs of new interface layout, text, interaction, etc. composed of the selection, arrangement, and combination of other public domains, limited expressions, and other elements, to realize a particular presentation mode of specific game playing rules. If the particular presentation mode is a creative feature different from that of other games, it can be regarded as an original "expression" that fall within the scope of protection by the Copyright Law.</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The overall running pictures of a game can be regarded as a work created by the method similar to film production.</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The designs of the structure, playing rules, numerical planning, skill system, interface layout, and interaction of an online game are the core contents of the whole game design, while the images of game characters, music and dubbing, and other contents belong to image design, which are equivalent to the skin or clothes of the game. P</w:t>
      </w:r>
      <w:r w:rsidRPr="00CE0FE3">
        <w:rPr>
          <w:sz w:val="28"/>
          <w:szCs w:val="28"/>
        </w:rPr>
        <w:t xml:space="preserve">lagiarism by only changing the </w:t>
      </w:r>
      <w:r>
        <w:rPr>
          <w:sz w:val="28"/>
          <w:szCs w:val="28"/>
        </w:rPr>
        <w:t xml:space="preserve">game’s skin </w:t>
      </w:r>
      <w:r w:rsidR="00AB5206">
        <w:rPr>
          <w:rFonts w:hint="eastAsia"/>
          <w:sz w:val="28"/>
          <w:szCs w:val="28"/>
        </w:rPr>
        <w:lastRenderedPageBreak/>
        <w:t>or</w:t>
      </w:r>
      <w:r>
        <w:rPr>
          <w:sz w:val="28"/>
          <w:szCs w:val="28"/>
        </w:rPr>
        <w:t>clothes</w:t>
      </w:r>
      <w:r w:rsidRPr="005A1DD1">
        <w:rPr>
          <w:sz w:val="28"/>
          <w:szCs w:val="28"/>
        </w:rPr>
        <w:t>generally means that a later game uses role images, music, and other elements different from those of the previous games, while the playing rules, numerical planning, skill system, and operation interface are kept completely the same as or essentially similar to those of the previous games. Such an act is as a whole an imitation and duplication of particular expressions related to concrete playing rules, which constitutes copyright infringement.</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[Case Description]</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The earliest version of Taichi Panda, a mobile game developed by Suzhou Snail Digital Technology Co., Ltd.(hereinafter referred to as "Snail"), was launched on October 31, 2014; while the earliest version of The Journey of Flower, a mobile game developed by Chengdu Skymoons Technology Co., Ltd. (hereinafter referred to as "Skymoons") and Beijing IQIYI Science &amp; Technology Co., Ltd. (hereinafter referred to as "iQIYI"), was launched on June 19, 2015. On August 5, 2015, Snail filed a lawsuit with the court of first instance, claiming that the mobile game The Journey of Flower plagiarized the game Taichi Panda by </w:t>
      </w:r>
      <w:r>
        <w:rPr>
          <w:rFonts w:hint="eastAsia"/>
          <w:sz w:val="28"/>
          <w:szCs w:val="28"/>
        </w:rPr>
        <w:t>only</w:t>
      </w:r>
      <w:r w:rsidRPr="00570B22">
        <w:rPr>
          <w:sz w:val="28"/>
          <w:szCs w:val="28"/>
        </w:rPr>
        <w:t xml:space="preserve">changing the </w:t>
      </w:r>
      <w:r>
        <w:rPr>
          <w:sz w:val="28"/>
          <w:szCs w:val="28"/>
        </w:rPr>
        <w:t xml:space="preserve">game’s skin </w:t>
      </w:r>
      <w:r w:rsidR="00AB5206">
        <w:rPr>
          <w:rFonts w:hint="eastAsia"/>
          <w:sz w:val="28"/>
          <w:szCs w:val="28"/>
        </w:rPr>
        <w:t>or</w:t>
      </w:r>
      <w:r>
        <w:rPr>
          <w:sz w:val="28"/>
          <w:szCs w:val="28"/>
        </w:rPr>
        <w:t xml:space="preserve"> clothes</w:t>
      </w:r>
      <w:r w:rsidRPr="005A1DD1">
        <w:rPr>
          <w:sz w:val="28"/>
          <w:szCs w:val="28"/>
        </w:rPr>
        <w:t>. To be specific, only the roles, images, voice, and music in the game The Journey of Flower were changed, while the playing rules, numerical planning, skill system, and operation interface of the game The Journey of Flower were kept completely the same as or essentially similar to those of Taichi Panda. Snail demanded Skymoons and iQIYI to immediately stop the infringing act, apologize and eliminate the adverse effects in the public media, and pay RMB 30 million for its economic losses.</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The court found that the game The Journey of Flower is basically the same as or essentially similar to the game Taichi Panda in 29 plays in terms of interface layout and playing rules; in addition, The Journey of Flower is presented the same as or proportionally related to Taichi Panda in 24 attribute values of 47 equipment; and in the computer software copyright registration and archive data of The Journey of Flower V1.0, all of the 26 UI interface diagrams including function module structure diagram, function flow diagram, and seal </w:t>
      </w:r>
      <w:r w:rsidRPr="005A1DD1">
        <w:rPr>
          <w:sz w:val="28"/>
          <w:szCs w:val="28"/>
        </w:rPr>
        <w:lastRenderedPageBreak/>
        <w:t xml:space="preserve">stone system entrance, are the elements and interfaces of Taichi Panda. Moreover, in the user comments of The Journey of Flower </w:t>
      </w:r>
      <w:r>
        <w:rPr>
          <w:sz w:val="28"/>
          <w:szCs w:val="28"/>
        </w:rPr>
        <w:t>o</w:t>
      </w:r>
      <w:r w:rsidRPr="005A1DD1">
        <w:rPr>
          <w:sz w:val="28"/>
          <w:szCs w:val="28"/>
        </w:rPr>
        <w:t xml:space="preserve">n Sina Weibo and IOS system, a large number of players said these two games are </w:t>
      </w:r>
      <w:r>
        <w:rPr>
          <w:sz w:val="28"/>
          <w:szCs w:val="28"/>
        </w:rPr>
        <w:t>quite</w:t>
      </w:r>
      <w:r w:rsidRPr="005A1DD1">
        <w:rPr>
          <w:sz w:val="28"/>
          <w:szCs w:val="28"/>
        </w:rPr>
        <w:t xml:space="preserve"> similar.</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In terms of the amount of compensation, from July 2015 to January 2016, the price including tax amount of the special VAT invoices issued by Skymoons to iQIYI was RMB 16,917,299.33. Skymoons recognized that the price including tax amount of the special VAT invoices issued by iQIYI was RMB 40,871,859.22. According to the Cooperation Agreement for Mobile Online Game The Journey of Flower signed by and between iQIYI and Skymoons, the two parties pay each other 25% of the operating revenue.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The defenses of Skymoons and iQIYI mainly include the following points: 1. </w:t>
      </w:r>
      <w:r>
        <w:rPr>
          <w:sz w:val="28"/>
          <w:szCs w:val="28"/>
        </w:rPr>
        <w:t>t</w:t>
      </w:r>
      <w:r w:rsidRPr="005A1DD1">
        <w:rPr>
          <w:sz w:val="28"/>
          <w:szCs w:val="28"/>
        </w:rPr>
        <w:t xml:space="preserve">he playing rules of the game belong to "ideas" and cannot be protected by the Copyright Law; 2. </w:t>
      </w:r>
      <w:r>
        <w:rPr>
          <w:sz w:val="28"/>
          <w:szCs w:val="28"/>
        </w:rPr>
        <w:t>t</w:t>
      </w:r>
      <w:r w:rsidRPr="005A1DD1">
        <w:rPr>
          <w:sz w:val="28"/>
          <w:szCs w:val="28"/>
        </w:rPr>
        <w:t xml:space="preserve">he basis for Snail's rights is flawed because the game version that Snail demonstrates to the court sources from its independent server and is likely to be modified; 3. </w:t>
      </w:r>
      <w:r>
        <w:rPr>
          <w:sz w:val="28"/>
          <w:szCs w:val="28"/>
        </w:rPr>
        <w:t>t</w:t>
      </w:r>
      <w:r w:rsidRPr="005A1DD1">
        <w:rPr>
          <w:sz w:val="28"/>
          <w:szCs w:val="28"/>
        </w:rPr>
        <w:t xml:space="preserve">here are great differences between the game The Journey of Flower and the game Taichi Panda in terms of character images, story plot, and music and dubbing. Even if some playing rules are the same, such behavior belongs to reasonable reference rather than an infringement; and 4. </w:t>
      </w:r>
      <w:r>
        <w:rPr>
          <w:sz w:val="28"/>
          <w:szCs w:val="28"/>
        </w:rPr>
        <w:t>t</w:t>
      </w:r>
      <w:r w:rsidRPr="005A1DD1">
        <w:rPr>
          <w:sz w:val="28"/>
          <w:szCs w:val="28"/>
        </w:rPr>
        <w:t xml:space="preserve">he amount of compensation claimed by Snail is </w:t>
      </w:r>
      <w:r w:rsidRPr="001B3452">
        <w:rPr>
          <w:sz w:val="28"/>
          <w:szCs w:val="28"/>
        </w:rPr>
        <w:t>excessively</w:t>
      </w:r>
      <w:r w:rsidRPr="005A1DD1">
        <w:rPr>
          <w:sz w:val="28"/>
          <w:szCs w:val="28"/>
        </w:rPr>
        <w:t xml:space="preserve"> high.</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In addition, Snail confirmed that the 1.8.0 version of the game The Journey of Flower launched on January 19, 2016 did not contain the alleged infringement content after successive iterations.</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[Decision of the Court]</w:t>
      </w:r>
    </w:p>
    <w:p w:rsidR="00824208" w:rsidRPr="005A1DD1" w:rsidRDefault="00824208" w:rsidP="00824208">
      <w:pPr>
        <w:adjustRightInd w:val="0"/>
        <w:snapToGrid w:val="0"/>
        <w:spacing w:line="312" w:lineRule="auto"/>
        <w:ind w:firstLineChars="200" w:firstLine="560"/>
        <w:rPr>
          <w:rFonts w:eastAsia="仿宋_GB2312"/>
          <w:sz w:val="28"/>
          <w:szCs w:val="28"/>
        </w:rPr>
      </w:pPr>
      <w:r>
        <w:rPr>
          <w:sz w:val="28"/>
          <w:szCs w:val="28"/>
        </w:rPr>
        <w:t xml:space="preserve">The </w:t>
      </w:r>
      <w:r w:rsidRPr="005A1DD1">
        <w:rPr>
          <w:sz w:val="28"/>
          <w:szCs w:val="28"/>
        </w:rPr>
        <w:t>Suzhou Intermediate People's Court</w:t>
      </w:r>
      <w:r>
        <w:rPr>
          <w:sz w:val="28"/>
          <w:szCs w:val="28"/>
        </w:rPr>
        <w:t>, as the court</w:t>
      </w:r>
      <w:r w:rsidRPr="005A1DD1">
        <w:rPr>
          <w:sz w:val="28"/>
          <w:szCs w:val="28"/>
        </w:rPr>
        <w:t xml:space="preserve"> of first instance</w:t>
      </w:r>
      <w:r>
        <w:rPr>
          <w:sz w:val="28"/>
          <w:szCs w:val="28"/>
        </w:rPr>
        <w:t>, found</w:t>
      </w:r>
      <w:r w:rsidRPr="005A1DD1">
        <w:rPr>
          <w:sz w:val="28"/>
          <w:szCs w:val="28"/>
        </w:rPr>
        <w:t xml:space="preserve"> that: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I. The whole running dynamic picture of the game Taichi Panda involved in the case is a work created by the method similar to film production. The overall running pictures of an online game are the expression form of its overall work. The overall picture of an online game finally displayed in the screen is an organic, continuous, and dynamic combination of its text, music, graphics, </w:t>
      </w:r>
      <w:r w:rsidRPr="005A1DD1">
        <w:rPr>
          <w:sz w:val="28"/>
          <w:szCs w:val="28"/>
        </w:rPr>
        <w:lastRenderedPageBreak/>
        <w:t xml:space="preserve">audios, videos, and other copyrightable elements based on its computer program to reflect and serve the game playing rules. The overall running pictures are the complete presentation mode of an online game work, and also the overall work form recognized and perceived by players. From the perspective of presentation, the overall picture of Taichi Panda is a "continuous and dynamic image" on the screen with continuous operations </w:t>
      </w:r>
      <w:r>
        <w:rPr>
          <w:sz w:val="28"/>
          <w:szCs w:val="28"/>
        </w:rPr>
        <w:t>by</w:t>
      </w:r>
      <w:r w:rsidRPr="005A1DD1">
        <w:rPr>
          <w:sz w:val="28"/>
          <w:szCs w:val="28"/>
        </w:rPr>
        <w:t xml:space="preserve"> players, which conforms to the definition of a work created by the method similar to film production. Furthermore, the plays setting of an ARPG game has its own plot, that is, it mainly constructs a virtual world with rich connotation</w:t>
      </w:r>
      <w:r>
        <w:rPr>
          <w:sz w:val="28"/>
          <w:szCs w:val="28"/>
        </w:rPr>
        <w:t>s</w:t>
      </w:r>
      <w:r w:rsidRPr="005A1DD1">
        <w:rPr>
          <w:sz w:val="28"/>
          <w:szCs w:val="28"/>
        </w:rPr>
        <w:t>. In this world, players can experience a series of game events and plots, such as character selection, pet cultivation, growth, and battles, and obtain immersive audio-visual experience, which is similar to the experience of appreciating film works. In addition, the mobile game Taichi Panda also has mandatory settings or automatic settings such as the novice guide part that all players have to go through, automatic fighting during battles, and automatic path finding. In these settings, the players can hardly perform their own operations, making the pictures of the game more similar to those of film works. Therefore, the dynamic running pictures of the game Taichi Panda constitute a work created by the method similar to film production as stipulated in Article III (VI) of the Copyright Law.</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II. The particular presentation mode of the game rules in the overall pictures of Taichi Panda constitutes the object of protection by the Copyright Law. The game designer expresses the specific playing rules of a single game system in the form of plain text in the interface through a game interface in the continuous dynamic images of the game or through the continuous game operation interface, so that the players can clearly perceive and carry out interactive operations during game playing, thereby making the game expressive. In an ARPG video game, the choice, growth, and battle of characters and other settings of playing rules are narrative in nature. The detailed playing rules of a game presented by the game interface are similar to the detailed plots of films. The expression of game rules implemented by drawing and designing game </w:t>
      </w:r>
      <w:r w:rsidRPr="005A1DD1">
        <w:rPr>
          <w:sz w:val="28"/>
          <w:szCs w:val="28"/>
        </w:rPr>
        <w:lastRenderedPageBreak/>
        <w:t>interfaces in the process of game development is similar to the production and transmission of scenarios in the process of film creation according to the text script and the shooting script. The detailed game rules embodied by game interface design constitute a particular presentation mode of game playing rules, which is a fully described structure and constitutes a</w:t>
      </w:r>
      <w:r>
        <w:rPr>
          <w:sz w:val="28"/>
          <w:szCs w:val="28"/>
        </w:rPr>
        <w:t>n</w:t>
      </w:r>
      <w:r w:rsidRPr="005A1DD1">
        <w:rPr>
          <w:sz w:val="28"/>
          <w:szCs w:val="28"/>
        </w:rPr>
        <w:t xml:space="preserve"> expres</w:t>
      </w:r>
      <w:r>
        <w:rPr>
          <w:sz w:val="28"/>
          <w:szCs w:val="28"/>
        </w:rPr>
        <w:t>s</w:t>
      </w:r>
      <w:r w:rsidRPr="005A1DD1">
        <w:rPr>
          <w:sz w:val="28"/>
          <w:szCs w:val="28"/>
        </w:rPr>
        <w:t>ion of the work. In addition, when the scope of copyright protection is determined, the unoriginal expression parts, limited expressions, and expression contents in the public domain shall be filtered out from the scope of protection.</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III. The Journey of Flower as a whole makes use of the basic expressions of Taichi Panda in particular presentation mode, selection, arrangement, and combination of the playing rules, and re-creates certain contents in art, music, animation, and text on this basis, which infringes </w:t>
      </w:r>
      <w:r>
        <w:rPr>
          <w:sz w:val="28"/>
          <w:szCs w:val="28"/>
        </w:rPr>
        <w:t xml:space="preserve">upon </w:t>
      </w:r>
      <w:r w:rsidRPr="005A1DD1">
        <w:rPr>
          <w:sz w:val="28"/>
          <w:szCs w:val="28"/>
        </w:rPr>
        <w:t xml:space="preserve">the right of adaptation enjoyed by the copyright owner. The two ARPG mobile games involved in this case both have an enormous and complex playing rules system. When determining whether a later game actually uses the overall expression of a previous game's playing rules, we shall compare their playing rules systems as a whole, first judge whether their particular presentation modes of single play systems are the same or substantially similar, and then decide whether the overall selection, arrangement, and combination of the whole game structures for single playing rules systems are substantially similar. In the overall judgment, we shall consider not only the number of single playing rules systems that are substantially similar, but also the impact of different playing rules systems on the experience of game playing and whether they are the key points of game design and profit points of games so as to make a comprehensive judgment. In this case, 29 playing rules systems in The Journey of Flower are the same or similar in the basic layout of principal interfaces and secondary interfaces of playing rules, and the detailed playing rule information transmitted by the interfaces and the playing rules obtained through the game playing are highly similar. The Journey of Flower makes substantial use of the basic expression of Taichi Panda in particular presentation mode, selection, arrangement, and </w:t>
      </w:r>
      <w:r w:rsidRPr="005A1DD1">
        <w:rPr>
          <w:sz w:val="28"/>
          <w:szCs w:val="28"/>
        </w:rPr>
        <w:lastRenderedPageBreak/>
        <w:t>combination of the playing rules. Furthermore, on the basis of using the basic expression of the playing rules of the original work, The Journey of Flower has re-created to a certain extent in art, music, animation, and other aspects, which infringes upon the right of adaptation of the original work enjoyed by Snail.</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In terms of civil liability, the court found that the profits obtained by the two defendants from developing and operating the game The Journey of Flower had obviously exceeded the compensation </w:t>
      </w:r>
      <w:r>
        <w:rPr>
          <w:sz w:val="28"/>
          <w:szCs w:val="28"/>
        </w:rPr>
        <w:t xml:space="preserve">amount </w:t>
      </w:r>
      <w:r w:rsidRPr="005A1DD1">
        <w:rPr>
          <w:sz w:val="28"/>
          <w:szCs w:val="28"/>
        </w:rPr>
        <w:t>claimed by Snail. On this basis, considering factors such as the nature and circumstances of the infringement, the court supported Snail's claim that the two defendants are jointly and severally liable to compensate RMB 30 million.</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After the judgment of first instance was pronounced, Skymoons and iQIYI appealed to Jiangsu High People</w:t>
      </w:r>
      <w:r>
        <w:rPr>
          <w:sz w:val="28"/>
          <w:szCs w:val="28"/>
        </w:rPr>
        <w:t>'</w:t>
      </w:r>
      <w:r w:rsidRPr="005A1DD1">
        <w:rPr>
          <w:sz w:val="28"/>
          <w:szCs w:val="28"/>
        </w:rPr>
        <w:t>s Court.</w:t>
      </w:r>
    </w:p>
    <w:p w:rsidR="00824208" w:rsidRPr="005A1DD1" w:rsidRDefault="00824208" w:rsidP="00824208">
      <w:pPr>
        <w:adjustRightInd w:val="0"/>
        <w:snapToGrid w:val="0"/>
        <w:spacing w:line="312" w:lineRule="auto"/>
        <w:ind w:firstLineChars="200" w:firstLine="560"/>
        <w:rPr>
          <w:rFonts w:eastAsia="仿宋_GB2312"/>
          <w:sz w:val="28"/>
          <w:szCs w:val="28"/>
        </w:rPr>
      </w:pPr>
      <w:r>
        <w:rPr>
          <w:sz w:val="28"/>
          <w:szCs w:val="28"/>
        </w:rPr>
        <w:t>The</w:t>
      </w:r>
      <w:r w:rsidRPr="005A1DD1">
        <w:rPr>
          <w:sz w:val="28"/>
          <w:szCs w:val="28"/>
        </w:rPr>
        <w:t xml:space="preserve"> Jiangsu High People</w:t>
      </w:r>
      <w:r>
        <w:rPr>
          <w:sz w:val="28"/>
          <w:szCs w:val="28"/>
        </w:rPr>
        <w:t>'</w:t>
      </w:r>
      <w:r w:rsidRPr="005A1DD1">
        <w:rPr>
          <w:sz w:val="28"/>
          <w:szCs w:val="28"/>
        </w:rPr>
        <w:t>s Court</w:t>
      </w:r>
      <w:r>
        <w:rPr>
          <w:sz w:val="28"/>
          <w:szCs w:val="28"/>
        </w:rPr>
        <w:t>, as the court of second instance, found that</w:t>
      </w:r>
      <w:r w:rsidRPr="005A1DD1">
        <w:rPr>
          <w:sz w:val="28"/>
          <w:szCs w:val="28"/>
        </w:rPr>
        <w: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I. The game Taichi Panda is a work protected by the Copyright Law</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First of all, the game Taichi Panda involved in the case is an original intellectual achievement in the fields of literature, art, and science as provided for by the Copyright Law and shall be protected thereby. Secondly, an online game is a collection of texts, music, graphics, videos, and specific playing rules that supports the implementation and execution of playing rules through computer software programs. The protection of the rights of online games can be carried out from the perspectives of text works, art works, musical works, or computer software works according to different elements. However, the protection of such divisional rights only protects a certain element category in online games, and it is not enough to realize adequate and substantive protection of online games as a whole, making the infringers easy to evade the infringement liability by avoiding and changing a certain category of elements in the whole games. In this case, the court of first instance takes the overall running pictures of the game, including the game playing rules and all game materials, as the comparison basis to realize the overall protection of online </w:t>
      </w:r>
      <w:r w:rsidRPr="005A1DD1">
        <w:rPr>
          <w:sz w:val="28"/>
          <w:szCs w:val="28"/>
        </w:rPr>
        <w:lastRenderedPageBreak/>
        <w:t xml:space="preserve">games. That is a reasonable judgment within the framework of the current legal system with corresponding factual foundation and legal basis. Thirdly, the designs of different characters, the interaction between characters, and the story of the whole Taichi Panda game are similar to script writing in the process of film creation. The overall running picture formed </w:t>
      </w:r>
      <w:r>
        <w:rPr>
          <w:sz w:val="28"/>
          <w:szCs w:val="28"/>
        </w:rPr>
        <w:t>with</w:t>
      </w:r>
      <w:r w:rsidRPr="005A1DD1">
        <w:rPr>
          <w:sz w:val="28"/>
          <w:szCs w:val="28"/>
        </w:rPr>
        <w:t xml:space="preserve"> the player</w:t>
      </w:r>
      <w:r>
        <w:rPr>
          <w:sz w:val="28"/>
          <w:szCs w:val="28"/>
        </w:rPr>
        <w:t>s</w:t>
      </w:r>
      <w:r w:rsidRPr="005A1DD1">
        <w:rPr>
          <w:sz w:val="28"/>
          <w:szCs w:val="28"/>
        </w:rPr>
        <w:t>' operations is similar to the process of film production and imaging under the framework of the script, and the expression presented after the player's operations is also within the scope set by the game developer. In addition, the overall pictures of the game include a series of game pictures with or without accompanying sound, which can be transmitted through digital playback devices such as computers. Therefore, under the current circumstance where China's Copyright Law adopts the enumerative method for forms of works, it is proper to identify the overall running pictures of the game Taichi Panda as a work created by the method similar to film production.</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II. The Journey of Flower infringes </w:t>
      </w:r>
      <w:r>
        <w:rPr>
          <w:sz w:val="28"/>
          <w:szCs w:val="28"/>
        </w:rPr>
        <w:t xml:space="preserve">upon </w:t>
      </w:r>
      <w:r w:rsidRPr="005A1DD1">
        <w:rPr>
          <w:sz w:val="28"/>
          <w:szCs w:val="28"/>
        </w:rPr>
        <w:t>the copyright of Taichi Panda</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(I). The particular presentation mode of the playing rules in Taichi Panda can be identified to be the object of protection by the Copyright Law. The Copyright Law protects only "expression" rather than "ideas", which is the basic principle of the Copyright Law. However, the "expression" herein refers </w:t>
      </w:r>
      <w:r>
        <w:rPr>
          <w:sz w:val="28"/>
          <w:szCs w:val="28"/>
        </w:rPr>
        <w:t xml:space="preserve">to </w:t>
      </w:r>
      <w:r w:rsidRPr="005A1DD1">
        <w:rPr>
          <w:sz w:val="28"/>
          <w:szCs w:val="28"/>
        </w:rPr>
        <w:t xml:space="preserve">not only </w:t>
      </w:r>
      <w:r>
        <w:rPr>
          <w:sz w:val="28"/>
          <w:szCs w:val="28"/>
        </w:rPr>
        <w:t xml:space="preserve">the </w:t>
      </w:r>
      <w:r w:rsidRPr="005A1DD1">
        <w:rPr>
          <w:sz w:val="28"/>
          <w:szCs w:val="28"/>
        </w:rPr>
        <w:t xml:space="preserve">"expression form", but also </w:t>
      </w:r>
      <w:r>
        <w:rPr>
          <w:sz w:val="28"/>
          <w:szCs w:val="28"/>
        </w:rPr>
        <w:t>the</w:t>
      </w:r>
      <w:r w:rsidRPr="005A1DD1">
        <w:rPr>
          <w:sz w:val="28"/>
          <w:szCs w:val="28"/>
        </w:rPr>
        <w:t xml:space="preserve"> original "expression content". If the "synonym substitution" method is used to rewrite a novel created by others and the two works are made completely different in the specific form of expression (specific words and sentences), but they are exactly the same in the "contents", namely, the plot, the characters, the sequence of event development, and the relationship among characters, the latter will still constitute copyright infringement against the former.</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As for the boundary between "ideas" and "expression", we may take a novel as an example to elaborate that apart from the theme or central idea of the novel, there are definitely more factors that can be classified as "ideas". From each detail of the work to the coexistence and continuity of numerous details, </w:t>
      </w:r>
      <w:r w:rsidRPr="005A1DD1">
        <w:rPr>
          <w:sz w:val="28"/>
          <w:szCs w:val="28"/>
        </w:rPr>
        <w:lastRenderedPageBreak/>
        <w:t>and to the final work that conveys the central theme to the readers, there is an evolving process from obscur</w:t>
      </w:r>
      <w:r>
        <w:rPr>
          <w:sz w:val="28"/>
          <w:szCs w:val="28"/>
        </w:rPr>
        <w:t>ity</w:t>
      </w:r>
      <w:r w:rsidRPr="005A1DD1">
        <w:rPr>
          <w:sz w:val="28"/>
          <w:szCs w:val="28"/>
        </w:rPr>
        <w:t xml:space="preserve"> to cl</w:t>
      </w:r>
      <w:r>
        <w:rPr>
          <w:sz w:val="28"/>
          <w:szCs w:val="28"/>
        </w:rPr>
        <w:t>arity</w:t>
      </w:r>
      <w:r w:rsidRPr="005A1DD1">
        <w:rPr>
          <w:sz w:val="28"/>
          <w:szCs w:val="28"/>
        </w:rPr>
        <w:t>, from abstract</w:t>
      </w:r>
      <w:r>
        <w:rPr>
          <w:sz w:val="28"/>
          <w:szCs w:val="28"/>
        </w:rPr>
        <w:t>ion</w:t>
      </w:r>
      <w:r w:rsidRPr="005A1DD1">
        <w:rPr>
          <w:sz w:val="28"/>
          <w:szCs w:val="28"/>
        </w:rPr>
        <w:t xml:space="preserve"> to concret</w:t>
      </w:r>
      <w:r>
        <w:rPr>
          <w:sz w:val="28"/>
          <w:szCs w:val="28"/>
        </w:rPr>
        <w:t>ion</w:t>
      </w:r>
      <w:r w:rsidRPr="005A1DD1">
        <w:rPr>
          <w:sz w:val="28"/>
          <w:szCs w:val="28"/>
        </w:rPr>
        <w:t xml:space="preserve">, </w:t>
      </w:r>
      <w:r>
        <w:rPr>
          <w:sz w:val="28"/>
          <w:szCs w:val="28"/>
        </w:rPr>
        <w:t xml:space="preserve">and </w:t>
      </w:r>
      <w:r w:rsidRPr="005A1DD1">
        <w:rPr>
          <w:sz w:val="28"/>
          <w:szCs w:val="28"/>
        </w:rPr>
        <w:t xml:space="preserve">from complex expression to simple expression, which is similar to the structure of a triangle from the bottom to the top. From every word, sentence, and paragraph at the bottom of the triangle to the theme at the top of the triangle, there is a continuous process of abstraction and generalization. This process is equivalent to the gradual narrowing when getting closer and closer to the top of the triangle. The changes in state are not clear-cut, which resembles the triangle containing numerous trapezoidal structures with shorter and shorter upper edge lines, up to the final point at the top, i.e., the central idea. Obviously, it is a gradual progressive process from the most basic expression at the bottom to the clearest idea at the top, and contains different progresses, different degrees, and different ways of expression. With regard to works, although ideas are perceptions that can be expressed directly or indirectly, there are often interwoven situations between the parts belonging to ideas and the parts belonging to expression, therefore, it is difficult to define a clear boundary line. Generally speaking, with regard to the comparison between the previous works and the later works, the more convergent parts below the top of the triangle there are, the closer to infringement in the sense of "expression" is. Obviously, the boundary line of infringement cannot be drawn at the bottom, otherwise it will mean that only word-for-word plagiarism belongs to </w:t>
      </w:r>
      <w:r>
        <w:rPr>
          <w:sz w:val="28"/>
          <w:szCs w:val="28"/>
        </w:rPr>
        <w:t xml:space="preserve">the </w:t>
      </w:r>
      <w:r w:rsidRPr="005A1DD1">
        <w:rPr>
          <w:sz w:val="28"/>
          <w:szCs w:val="28"/>
        </w:rPr>
        <w:t>infringement of "expression", which will greatly reduce the scope of "expression". Similarly, this boundary line cannot be drawn at the top, otherwise any abstract plot more specific than the theme will be identified as "expression", which will greatly expand the scope of "expression". How to define the boundary line between "ideas" and "expression" still needs to be judged in combination with the specific situation of the works.</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In this case, first of all, the battles, growth, expansion, and release systems designed under the playing rules system of the game Taichi Panda, the PVE (Player VS Enviro</w:t>
      </w:r>
      <w:r>
        <w:rPr>
          <w:sz w:val="28"/>
          <w:szCs w:val="28"/>
        </w:rPr>
        <w:t>n</w:t>
      </w:r>
      <w:r w:rsidRPr="005A1DD1">
        <w:rPr>
          <w:sz w:val="28"/>
          <w:szCs w:val="28"/>
        </w:rPr>
        <w:t xml:space="preserve">ment) and PVP (Player VS Player) systems designed under </w:t>
      </w:r>
      <w:r w:rsidRPr="005A1DD1">
        <w:rPr>
          <w:sz w:val="28"/>
          <w:szCs w:val="28"/>
        </w:rPr>
        <w:lastRenderedPageBreak/>
        <w:t xml:space="preserve">the battle system, the protagonist system, equipment system, and warrior system designed under the whole growth system, the interaction, operation activity, and </w:t>
      </w:r>
      <w:r>
        <w:rPr>
          <w:sz w:val="28"/>
          <w:szCs w:val="28"/>
        </w:rPr>
        <w:t>store</w:t>
      </w:r>
      <w:r w:rsidRPr="005A1DD1">
        <w:rPr>
          <w:sz w:val="28"/>
          <w:szCs w:val="28"/>
        </w:rPr>
        <w:t xml:space="preserve"> system designed under the expansion system, and the novice guide, function opening, gift package, and level restriction system designed under the launch system all belong to concrete and explicit "ideas", and shall not be protected by the Copyright Law. Secondly, the basic interface layout of the "first charge" and "investment plan" plays in the game Taichi Panda, the layout in which the bottom row of the main interface are mostly designed with function area buttons and the left and right sides of the main interface are arranged with vertical row buttons, and the left and right bottom parts are laid with joystick and skill keys in the design of the battle interface which are non-original or are contents that fall within the scope of limited expression and public domain shall also be excluded from the "expression" claimed by Snail. After the foregoing relevant contents are excluded, the basic layouts and specific contents of the remaining interfaces in the game Taichi Panda are designed independently by Snail, and certain specific game playing rules are expressed in a narrative manner by means of the plain text in the interfaces or continuous display of the game operation interface. Through these original interface layouts, interface text, and interface interaction, the online game players can understand the specific playing rules and the operation experience of the game Taichi Panda designed by Snail. Therefore, the interface layouts and contents of this part can be regarded as a particular presentation mode of the specific game playing rules, which constitutes the "expression" as provided for in the Copyright Law. Taking the No. 31 game playing rule "Star Refining" which was compared by the court of first instance as an example, this rule describes specific trigger conditions, number of props, interface layout, operation process, etc. in greater detail, therefore, it can be regarded as an original "expression" protected by the Copyright Law. Compared with Taichi Panda in this playing rule, the game The Journey of Flower has substantially similar contents other than the interface graphics and certain props names, which goes beyond the scope of creation </w:t>
      </w:r>
      <w:r w:rsidRPr="005A1DD1">
        <w:rPr>
          <w:sz w:val="28"/>
          <w:szCs w:val="28"/>
        </w:rPr>
        <w:lastRenderedPageBreak/>
        <w:t>"coincidence". Thus, it can be concluded that although there are differences in the "expression form" of these two games, they are substantially similar in "expression content".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In addition, it is worth noting that in addition to the original interface layout, text, interaction, and other designs of Snail, if Snail's selection, arrangement, and combination of other public domains, limited expressions, and other elements constituting a new interface layout or particular presentation mode of specific playing rule have become creative features that differentiate the game from other games, such creative features can also be regarded as an original "expression".</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(II). Based on the existing evidence, it can be concluded that The Journey of Flower plagiarized Taichi Panda by </w:t>
      </w:r>
      <w:r>
        <w:rPr>
          <w:sz w:val="28"/>
          <w:szCs w:val="28"/>
        </w:rPr>
        <w:t xml:space="preserve">only </w:t>
      </w:r>
      <w:r w:rsidRPr="00570B22">
        <w:rPr>
          <w:sz w:val="28"/>
          <w:szCs w:val="28"/>
        </w:rPr>
        <w:t xml:space="preserve">changing the </w:t>
      </w:r>
      <w:r>
        <w:rPr>
          <w:sz w:val="28"/>
          <w:szCs w:val="28"/>
        </w:rPr>
        <w:t xml:space="preserve">game’s skin </w:t>
      </w:r>
      <w:r w:rsidR="00AB5206">
        <w:rPr>
          <w:rFonts w:hint="eastAsia"/>
          <w:sz w:val="28"/>
          <w:szCs w:val="28"/>
        </w:rPr>
        <w:t xml:space="preserve">or </w:t>
      </w:r>
      <w:r>
        <w:rPr>
          <w:sz w:val="28"/>
          <w:szCs w:val="28"/>
        </w:rPr>
        <w:t>clothes</w:t>
      </w:r>
      <w:r w:rsidRPr="005A1DD1">
        <w:rPr>
          <w:sz w:val="28"/>
          <w:szCs w:val="28"/>
        </w:rPr>
        <w:t>. P</w:t>
      </w:r>
      <w:r w:rsidRPr="00CE0FE3">
        <w:rPr>
          <w:sz w:val="28"/>
          <w:szCs w:val="28"/>
        </w:rPr>
        <w:t xml:space="preserve">lagiarism by only changing the </w:t>
      </w:r>
      <w:r>
        <w:rPr>
          <w:sz w:val="28"/>
          <w:szCs w:val="28"/>
        </w:rPr>
        <w:t xml:space="preserve">game’s </w:t>
      </w:r>
      <w:r w:rsidR="00AB5206" w:rsidRPr="00AB5206">
        <w:rPr>
          <w:sz w:val="28"/>
          <w:szCs w:val="28"/>
        </w:rPr>
        <w:t>skin or</w:t>
      </w:r>
      <w:r>
        <w:rPr>
          <w:sz w:val="28"/>
          <w:szCs w:val="28"/>
        </w:rPr>
        <w:t xml:space="preserve"> clothes</w:t>
      </w:r>
      <w:r w:rsidRPr="005A1DD1">
        <w:rPr>
          <w:sz w:val="28"/>
          <w:szCs w:val="28"/>
        </w:rPr>
        <w:t xml:space="preserve"> generally means that a later game uses IP images, music, and other elements different from those of the previous games, while the playing rules, numerical planning, skill system, and operation interfaces are kept completely the same as or essentially similar to those of the previous games. As the playing rules, numerical planning, skill system, and operation interface are the core contents of a game, infringers can achieve the consistency between their works and previous games in terms of operation habits and user experience through </w:t>
      </w:r>
      <w:r w:rsidRPr="00CE0FE3">
        <w:rPr>
          <w:sz w:val="28"/>
          <w:szCs w:val="28"/>
        </w:rPr>
        <w:t xml:space="preserve">plagiarism by only changing the </w:t>
      </w:r>
      <w:r>
        <w:rPr>
          <w:sz w:val="28"/>
          <w:szCs w:val="28"/>
        </w:rPr>
        <w:t xml:space="preserve">game’s </w:t>
      </w:r>
      <w:r w:rsidR="00AB5206" w:rsidRPr="00AB5206">
        <w:rPr>
          <w:sz w:val="28"/>
          <w:szCs w:val="28"/>
        </w:rPr>
        <w:t>skin or</w:t>
      </w:r>
      <w:r>
        <w:rPr>
          <w:sz w:val="28"/>
          <w:szCs w:val="28"/>
        </w:rPr>
        <w:t xml:space="preserve"> clothes</w:t>
      </w:r>
      <w:r w:rsidRPr="005A1DD1">
        <w:rPr>
          <w:sz w:val="28"/>
          <w:szCs w:val="28"/>
        </w:rPr>
        <w:t xml:space="preserve">. Moreover, plagiarism of previous games by </w:t>
      </w:r>
      <w:r w:rsidRPr="00CE0FE3">
        <w:rPr>
          <w:sz w:val="28"/>
          <w:szCs w:val="28"/>
        </w:rPr>
        <w:t xml:space="preserve">only changing the </w:t>
      </w:r>
      <w:r>
        <w:rPr>
          <w:sz w:val="28"/>
          <w:szCs w:val="28"/>
        </w:rPr>
        <w:t xml:space="preserve">game’s </w:t>
      </w:r>
      <w:r w:rsidR="00AB5206" w:rsidRPr="00AB5206">
        <w:rPr>
          <w:sz w:val="28"/>
          <w:szCs w:val="28"/>
        </w:rPr>
        <w:t>skin or</w:t>
      </w:r>
      <w:r>
        <w:rPr>
          <w:sz w:val="28"/>
          <w:szCs w:val="28"/>
        </w:rPr>
        <w:t xml:space="preserve"> clothes</w:t>
      </w:r>
      <w:r w:rsidRPr="005A1DD1">
        <w:rPr>
          <w:sz w:val="28"/>
          <w:szCs w:val="28"/>
        </w:rPr>
        <w:t xml:space="preserve"> can greatly reduce the development cost and shorten the development cycle of the games. In this case, plenty of evidence submitted by Snail has proved that the game The Journey of Flower has carried out </w:t>
      </w:r>
      <w:r w:rsidRPr="00CE0FE3">
        <w:rPr>
          <w:sz w:val="28"/>
          <w:szCs w:val="28"/>
        </w:rPr>
        <w:t xml:space="preserve">plagiarism by only changing the </w:t>
      </w:r>
      <w:r w:rsidR="00AB5206" w:rsidRPr="00AB5206">
        <w:rPr>
          <w:sz w:val="28"/>
          <w:szCs w:val="28"/>
        </w:rPr>
        <w:t>skin or</w:t>
      </w:r>
      <w:r>
        <w:rPr>
          <w:sz w:val="28"/>
          <w:szCs w:val="28"/>
        </w:rPr>
        <w:t xml:space="preserve"> clothes</w:t>
      </w:r>
      <w:r w:rsidRPr="005A1DD1">
        <w:rPr>
          <w:sz w:val="28"/>
          <w:szCs w:val="28"/>
        </w:rPr>
        <w:t xml:space="preserve"> of the game Taichi Panda.</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(III). The Journey of Flower essentially used the specific expression content of the playing rules in Taichi Panda, thus constituting copyright infringement. First of all, the court of first instance found that the particular presentation mode of the playing rules in the game Taichi Panda to be protected still belongs to the category of "expression content" rather than "ideas", and thus it falls within the </w:t>
      </w:r>
      <w:r w:rsidRPr="005A1DD1">
        <w:rPr>
          <w:sz w:val="28"/>
          <w:szCs w:val="28"/>
        </w:rPr>
        <w:lastRenderedPageBreak/>
        <w:t xml:space="preserve">scope of protection by the Copyright Law. Secondly, the comparison of rules and interfaces of different games in the evidence submitted by Skymoons during the second trial was rather abstract without covering the detailed presentation mode of certain specific playing rules, and the interface contents involved in the comparison was also not enough to achieve the purpose of proof. Thirdly, the expression of game playing rules in the game involves the overall structure of the game, the layout, content as well as interaction of the game interface, the planning of equipment value and skill system, etc., which relates to not only the interactivity of the game, but also the story and art. Finally, as for the design of an online game, the game structure, playing rules, numerical planning, skill system, interface layout, and interaction are the core contents of the whole game design, which is equivalent to the framework of the game; while the images of characters, voice, and music belong to image design, which is equivalent to the skin or clothes of the game, therefore, the behavior in which only IP images, music, and other elements are changed but the playing rules, numerical planning, skill system, and operation interface are kept substantially similar is called </w:t>
      </w:r>
      <w:r w:rsidRPr="00CE0FE3">
        <w:rPr>
          <w:sz w:val="28"/>
          <w:szCs w:val="28"/>
        </w:rPr>
        <w:t xml:space="preserve">plagiarism by only changing the </w:t>
      </w:r>
      <w:r>
        <w:rPr>
          <w:sz w:val="28"/>
          <w:szCs w:val="28"/>
        </w:rPr>
        <w:t xml:space="preserve">game’s </w:t>
      </w:r>
      <w:r w:rsidR="00AB5206" w:rsidRPr="00AB5206">
        <w:rPr>
          <w:sz w:val="28"/>
          <w:szCs w:val="28"/>
        </w:rPr>
        <w:t>skin or</w:t>
      </w:r>
      <w:r>
        <w:rPr>
          <w:sz w:val="28"/>
          <w:szCs w:val="28"/>
        </w:rPr>
        <w:t xml:space="preserve"> clothes</w:t>
      </w:r>
      <w:r w:rsidRPr="005A1DD1">
        <w:rPr>
          <w:sz w:val="28"/>
          <w:szCs w:val="28"/>
        </w:rPr>
        <w:t xml:space="preserve"> in the games industry. There are many substantive similarities between the game The Journey of Flower and the game Taichi Panda in terms of the core playing rules of ARPG games, such as battle dungeons, character skills, equipment, and warrior (pet) system, and the similarities in some details far exceed the possibility of creation coincidence. Therefore, it can be concluded that the game The Journey of Flower has imitated and duplicated the game Taichi Panda in specific expressions related to concrete playing rules, which constitutes copyright infringement. Although the game The Journey of Flower is different from the game Taichi Panda in terms of IP images, music, and story plot, it cannot change the infringement determination that The Journey of Flower plagiarizes Taichi Panda in certain specific core playing rules. The court of first instance identified the act of changing IP images, music, and story plot as infringement </w:t>
      </w:r>
      <w:r>
        <w:rPr>
          <w:sz w:val="28"/>
          <w:szCs w:val="28"/>
        </w:rPr>
        <w:t>upon</w:t>
      </w:r>
      <w:r w:rsidRPr="005A1DD1">
        <w:rPr>
          <w:sz w:val="28"/>
          <w:szCs w:val="28"/>
        </w:rPr>
        <w:t xml:space="preserve"> the adaptation right of Taichi Panda, and such identification was made based on </w:t>
      </w:r>
      <w:r w:rsidRPr="005A1DD1">
        <w:rPr>
          <w:sz w:val="28"/>
          <w:szCs w:val="28"/>
        </w:rPr>
        <w:lastRenderedPageBreak/>
        <w:t>corresponding factual and legal basis.</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III. Regarding whether the amount of compensation determined by the court of first instance is appropriate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First of all, from the first instance to the second instance of this case, Skymoons and iQIYI did not submit any evidence to the court to prove the revenue of the game—The Journey of Flower—involved in the case, </w:t>
      </w:r>
      <w:r>
        <w:rPr>
          <w:sz w:val="28"/>
          <w:szCs w:val="28"/>
        </w:rPr>
        <w:t>therefore,</w:t>
      </w:r>
      <w:r w:rsidRPr="005A1DD1">
        <w:rPr>
          <w:sz w:val="28"/>
          <w:szCs w:val="28"/>
        </w:rPr>
        <w:t xml:space="preserve"> the capital exchanges between the two parties cannot be identified as the revenue of the game involved in this case. Secondly, the court of first instance calculated the revenue of the game based on the value-added tax invoices of the parties totaling RMB 231,156,634.2, which was far less than the amount of each party's share calculated according to the Plan of Ningbo FubangJingye Group Co., Ltd. for Issuing Shares and Paying Cash to Purchase Assets and Raising Supporting Funds for Related Transactions (Revised Version) submitted by Snail in the second instance. The profit margin of 13.9% </w:t>
      </w:r>
      <w:r>
        <w:rPr>
          <w:sz w:val="28"/>
          <w:szCs w:val="28"/>
        </w:rPr>
        <w:t>obtained</w:t>
      </w:r>
      <w:r w:rsidRPr="005A1DD1">
        <w:rPr>
          <w:sz w:val="28"/>
          <w:szCs w:val="28"/>
        </w:rPr>
        <w:t xml:space="preserve"> by the court of first instance had excluded the sharing cost of the IP party as well as the sharing cost, server cost, period expense, income tax amount, and other costs of the R&amp;D party. On this basis, the profit calculated was still more than RMB 30 million. Thirdly, Skymoons and iQIYI were able to shorten the research and development cycle precisely because they had implemented the foregoing adaptation infringement act. They launched the mobile game The Journey of Flower when the hit TV play of the same name was broadcasted, which demonstrated their obvious malicious infringement. In this case, the court of first instance, based on the total revenue sharing between the two parties, combined with other factors such as the facts ascertained and the nature and circumstances of the infringement, determined that the </w:t>
      </w:r>
      <w:r>
        <w:rPr>
          <w:sz w:val="28"/>
          <w:szCs w:val="28"/>
        </w:rPr>
        <w:t xml:space="preserve">claimed </w:t>
      </w:r>
      <w:r w:rsidRPr="005A1DD1">
        <w:rPr>
          <w:sz w:val="28"/>
          <w:szCs w:val="28"/>
        </w:rPr>
        <w:t xml:space="preserve">compensation of RMB 30 million as appropriate rather than obviously </w:t>
      </w:r>
      <w:r>
        <w:rPr>
          <w:sz w:val="28"/>
          <w:szCs w:val="28"/>
        </w:rPr>
        <w:t>excessively</w:t>
      </w:r>
      <w:r w:rsidRPr="005A1DD1">
        <w:rPr>
          <w:sz w:val="28"/>
          <w:szCs w:val="28"/>
        </w:rPr>
        <w:t xml:space="preserve"> high.</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In conclusion, the court of second instance affirmed the judgment of first instance.</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[Typical Significance]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This is the first case in China to make it clear through </w:t>
      </w:r>
      <w:r>
        <w:rPr>
          <w:sz w:val="28"/>
          <w:szCs w:val="28"/>
        </w:rPr>
        <w:t>a</w:t>
      </w:r>
      <w:r w:rsidRPr="005A1DD1">
        <w:rPr>
          <w:sz w:val="28"/>
          <w:szCs w:val="28"/>
        </w:rPr>
        <w:t xml:space="preserve"> judgment that the </w:t>
      </w:r>
      <w:r w:rsidRPr="005A1DD1">
        <w:rPr>
          <w:sz w:val="28"/>
          <w:szCs w:val="28"/>
        </w:rPr>
        <w:lastRenderedPageBreak/>
        <w:t>particular presentation mode of playing rules in online games falls within the scope of protec</w:t>
      </w:r>
      <w:r>
        <w:rPr>
          <w:sz w:val="28"/>
          <w:szCs w:val="28"/>
        </w:rPr>
        <w:t>t</w:t>
      </w:r>
      <w:r w:rsidRPr="005A1DD1">
        <w:rPr>
          <w:sz w:val="28"/>
          <w:szCs w:val="28"/>
        </w:rPr>
        <w:t>ion by the Copyright Law, and</w:t>
      </w:r>
      <w:r>
        <w:rPr>
          <w:sz w:val="28"/>
          <w:szCs w:val="28"/>
        </w:rPr>
        <w:t xml:space="preserve"> that</w:t>
      </w:r>
      <w:r w:rsidRPr="00CE0FE3">
        <w:rPr>
          <w:sz w:val="28"/>
          <w:szCs w:val="28"/>
        </w:rPr>
        <w:t xml:space="preserve">plagiarism by only changing the </w:t>
      </w:r>
      <w:r>
        <w:rPr>
          <w:sz w:val="28"/>
          <w:szCs w:val="28"/>
        </w:rPr>
        <w:t xml:space="preserve">game’s </w:t>
      </w:r>
      <w:r w:rsidR="00AB5206" w:rsidRPr="00AB5206">
        <w:rPr>
          <w:sz w:val="28"/>
          <w:szCs w:val="28"/>
        </w:rPr>
        <w:t>skin or</w:t>
      </w:r>
      <w:r>
        <w:rPr>
          <w:sz w:val="28"/>
          <w:szCs w:val="28"/>
        </w:rPr>
        <w:t xml:space="preserve"> clothes</w:t>
      </w:r>
      <w:r w:rsidRPr="005A1DD1">
        <w:rPr>
          <w:sz w:val="28"/>
          <w:szCs w:val="28"/>
        </w:rPr>
        <w:t xml:space="preserve"> constitut</w:t>
      </w:r>
      <w:r>
        <w:rPr>
          <w:sz w:val="28"/>
          <w:szCs w:val="28"/>
        </w:rPr>
        <w:t>ing</w:t>
      </w:r>
      <w:r w:rsidRPr="005A1DD1">
        <w:rPr>
          <w:sz w:val="28"/>
          <w:szCs w:val="28"/>
        </w:rPr>
        <w:t xml:space="preserve"> copyright infringement. This case </w:t>
      </w:r>
      <w:r>
        <w:rPr>
          <w:sz w:val="28"/>
          <w:szCs w:val="28"/>
        </w:rPr>
        <w:t>decide</w:t>
      </w:r>
      <w:r w:rsidRPr="005A1DD1">
        <w:rPr>
          <w:sz w:val="28"/>
          <w:szCs w:val="28"/>
        </w:rPr>
        <w:t>s a high compensation</w:t>
      </w:r>
      <w:r>
        <w:rPr>
          <w:sz w:val="28"/>
          <w:szCs w:val="28"/>
        </w:rPr>
        <w:t xml:space="preserve"> amount</w:t>
      </w:r>
      <w:r w:rsidRPr="005A1DD1">
        <w:rPr>
          <w:sz w:val="28"/>
          <w:szCs w:val="28"/>
        </w:rPr>
        <w:t xml:space="preserve"> of RMB 30 million for such an act of infringement. After the judgment, this case triggered </w:t>
      </w:r>
      <w:r>
        <w:rPr>
          <w:sz w:val="28"/>
          <w:szCs w:val="28"/>
        </w:rPr>
        <w:t>wide discussion</w:t>
      </w:r>
      <w:r w:rsidRPr="005A1DD1">
        <w:rPr>
          <w:sz w:val="28"/>
          <w:szCs w:val="28"/>
        </w:rPr>
        <w:t>. The typical characteristics of the judgment in this case are as follows:</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1.The judgment elaborates the differences between "ideas" and "expression", and makes it clear that "expression" protected by the Copyright Law refers to not only "expression form", but also </w:t>
      </w:r>
      <w:r>
        <w:rPr>
          <w:sz w:val="28"/>
          <w:szCs w:val="28"/>
        </w:rPr>
        <w:t>the</w:t>
      </w:r>
      <w:r w:rsidRPr="005A1DD1">
        <w:rPr>
          <w:sz w:val="28"/>
          <w:szCs w:val="28"/>
        </w:rPr>
        <w:t xml:space="preserve"> original "expression content". In the judgment, the boundary line between "ideas" and "expression" is explained in detail and vividly by examples and the triangle model, and it is emphasized that the boundary between "ideas" and "expression" shall not be comprehended mechanically. When the content of a work has been presented as a specific expression of the work through creation, it then belongs to the category of "expression" of a work protected by Copyright Law. Defining the boundary line between "ideas" and "expression" still needs to be judged in combination with the specific situation of the works.</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2. The judgment innovates the idea of copyright protection of game works, clarifies the particular presentation mode of playing rules in online games which is the object of protection by the Copyright Law, and determines that </w:t>
      </w:r>
      <w:r w:rsidRPr="00CE0FE3">
        <w:rPr>
          <w:sz w:val="28"/>
          <w:szCs w:val="28"/>
        </w:rPr>
        <w:t xml:space="preserve">plagiarism by only changing the </w:t>
      </w:r>
      <w:r>
        <w:rPr>
          <w:sz w:val="28"/>
          <w:szCs w:val="28"/>
        </w:rPr>
        <w:t xml:space="preserve">game’s </w:t>
      </w:r>
      <w:r w:rsidR="00AB5206" w:rsidRPr="00AB5206">
        <w:rPr>
          <w:sz w:val="28"/>
          <w:szCs w:val="28"/>
        </w:rPr>
        <w:t>skin or</w:t>
      </w:r>
      <w:r>
        <w:rPr>
          <w:sz w:val="28"/>
          <w:szCs w:val="28"/>
        </w:rPr>
        <w:t xml:space="preserve"> clothes</w:t>
      </w:r>
      <w:r w:rsidRPr="005A1DD1">
        <w:rPr>
          <w:sz w:val="28"/>
          <w:szCs w:val="28"/>
        </w:rPr>
        <w:t xml:space="preserve"> constitutes infringement. The traditional judgment idea of the rights protection of online game works is generally based on different elements</w:t>
      </w:r>
      <w:r>
        <w:rPr>
          <w:sz w:val="28"/>
          <w:szCs w:val="28"/>
        </w:rPr>
        <w:t xml:space="preserve"> such as</w:t>
      </w:r>
      <w:r w:rsidRPr="005A1DD1">
        <w:rPr>
          <w:sz w:val="28"/>
          <w:szCs w:val="28"/>
        </w:rPr>
        <w:t xml:space="preserve"> the perspectives of text works, art works, musical works, or computer software works. However, the protection of such divisional rights only protects a certain element category in online games, which is not enough to realize adequate and substantial protection of online games as a whole</w:t>
      </w:r>
      <w:r>
        <w:rPr>
          <w:sz w:val="28"/>
          <w:szCs w:val="28"/>
        </w:rPr>
        <w:t>, and consequently results in</w:t>
      </w:r>
      <w:r w:rsidRPr="00CE0FE3">
        <w:rPr>
          <w:sz w:val="28"/>
          <w:szCs w:val="28"/>
        </w:rPr>
        <w:t xml:space="preserve">plagiarism by only changing the </w:t>
      </w:r>
      <w:r>
        <w:rPr>
          <w:sz w:val="28"/>
          <w:szCs w:val="28"/>
        </w:rPr>
        <w:t xml:space="preserve">game’s </w:t>
      </w:r>
      <w:r w:rsidR="00AB5206" w:rsidRPr="00AB5206">
        <w:rPr>
          <w:sz w:val="28"/>
          <w:szCs w:val="28"/>
        </w:rPr>
        <w:t>skin or</w:t>
      </w:r>
      <w:r>
        <w:rPr>
          <w:sz w:val="28"/>
          <w:szCs w:val="28"/>
        </w:rPr>
        <w:t xml:space="preserve"> clothes</w:t>
      </w:r>
      <w:r w:rsidRPr="005A1DD1">
        <w:rPr>
          <w:sz w:val="28"/>
          <w:szCs w:val="28"/>
        </w:rPr>
        <w:t xml:space="preserve"> to avoid legal regulation. The judgment defines that online games can realize the particular presentation mode of the specific game playing rules through original designs of interface layout, text, and interaction, </w:t>
      </w:r>
      <w:r w:rsidRPr="005A1DD1">
        <w:rPr>
          <w:sz w:val="28"/>
          <w:szCs w:val="28"/>
        </w:rPr>
        <w:lastRenderedPageBreak/>
        <w:t>as well as the new interface layout, text, and interaction composed of the selection, arrangement, and combination of public domains, limited expressions, and other elements. If the particular presentation mode is a creative feature different from that of other games, it can be regarded as an original "expression" that fall</w:t>
      </w:r>
      <w:r>
        <w:rPr>
          <w:sz w:val="28"/>
          <w:szCs w:val="28"/>
        </w:rPr>
        <w:t>s</w:t>
      </w:r>
      <w:r w:rsidRPr="005A1DD1">
        <w:rPr>
          <w:sz w:val="28"/>
          <w:szCs w:val="28"/>
        </w:rPr>
        <w:t xml:space="preserve"> within the scope of protection by the Copyright Law. In this way, the overall protection of online game works can be achieved.</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In addition, the judgment makes it clear that playing rules, numerical planning, skill system, and operation interface are the core contents of a game. </w:t>
      </w:r>
      <w:r>
        <w:rPr>
          <w:sz w:val="28"/>
          <w:szCs w:val="28"/>
        </w:rPr>
        <w:t>P</w:t>
      </w:r>
      <w:r w:rsidRPr="00CE0FE3">
        <w:rPr>
          <w:sz w:val="28"/>
          <w:szCs w:val="28"/>
        </w:rPr>
        <w:t xml:space="preserve">lagiarism by only changing the </w:t>
      </w:r>
      <w:r>
        <w:rPr>
          <w:sz w:val="28"/>
          <w:szCs w:val="28"/>
        </w:rPr>
        <w:t xml:space="preserve">game’s </w:t>
      </w:r>
      <w:r w:rsidR="00AB5206" w:rsidRPr="00AB5206">
        <w:rPr>
          <w:sz w:val="28"/>
          <w:szCs w:val="28"/>
        </w:rPr>
        <w:t>skin or</w:t>
      </w:r>
      <w:r>
        <w:rPr>
          <w:sz w:val="28"/>
          <w:szCs w:val="28"/>
        </w:rPr>
        <w:t xml:space="preserve"> clothes</w:t>
      </w:r>
      <w:r w:rsidRPr="005A1DD1">
        <w:rPr>
          <w:sz w:val="28"/>
          <w:szCs w:val="28"/>
        </w:rPr>
        <w:t xml:space="preserve"> generally means that a later game uses role images, music, and other elements different from those of the previous games, while the playing rules, numerical planning, skill system, and operation interface are kept the same as or essentially similar to those of the previous games. </w:t>
      </w:r>
      <w:r>
        <w:rPr>
          <w:sz w:val="28"/>
          <w:szCs w:val="28"/>
        </w:rPr>
        <w:t>P</w:t>
      </w:r>
      <w:r w:rsidRPr="00CE0FE3">
        <w:rPr>
          <w:sz w:val="28"/>
          <w:szCs w:val="28"/>
        </w:rPr>
        <w:t xml:space="preserve">lagiarism by only changing the </w:t>
      </w:r>
      <w:r>
        <w:rPr>
          <w:sz w:val="28"/>
          <w:szCs w:val="28"/>
        </w:rPr>
        <w:t xml:space="preserve">game’s </w:t>
      </w:r>
      <w:r w:rsidR="00AB5206" w:rsidRPr="00AB5206">
        <w:rPr>
          <w:sz w:val="28"/>
          <w:szCs w:val="28"/>
        </w:rPr>
        <w:t>skin or</w:t>
      </w:r>
      <w:r>
        <w:rPr>
          <w:sz w:val="28"/>
          <w:szCs w:val="28"/>
        </w:rPr>
        <w:t xml:space="preserve"> clothes</w:t>
      </w:r>
      <w:r w:rsidRPr="005A1DD1">
        <w:rPr>
          <w:sz w:val="28"/>
          <w:szCs w:val="28"/>
        </w:rPr>
        <w:t xml:space="preserve"> can greatly reduce the development cost and shorten the development cycle of the games. </w:t>
      </w:r>
      <w:r>
        <w:rPr>
          <w:sz w:val="28"/>
          <w:szCs w:val="28"/>
        </w:rPr>
        <w:t>Therefore, t</w:t>
      </w:r>
      <w:r w:rsidRPr="005A1DD1">
        <w:rPr>
          <w:sz w:val="28"/>
          <w:szCs w:val="28"/>
        </w:rPr>
        <w:t xml:space="preserve">he act of </w:t>
      </w:r>
      <w:r w:rsidRPr="00CE0FE3">
        <w:rPr>
          <w:sz w:val="28"/>
          <w:szCs w:val="28"/>
        </w:rPr>
        <w:t xml:space="preserve">plagiarism by only changing the </w:t>
      </w:r>
      <w:r>
        <w:rPr>
          <w:sz w:val="28"/>
          <w:szCs w:val="28"/>
        </w:rPr>
        <w:t xml:space="preserve">game’s </w:t>
      </w:r>
      <w:r w:rsidR="00AB5206" w:rsidRPr="00AB5206">
        <w:rPr>
          <w:sz w:val="28"/>
          <w:szCs w:val="28"/>
        </w:rPr>
        <w:t>skin or</w:t>
      </w:r>
      <w:r>
        <w:rPr>
          <w:sz w:val="28"/>
          <w:szCs w:val="28"/>
        </w:rPr>
        <w:t xml:space="preserve"> clothes</w:t>
      </w:r>
      <w:r w:rsidRPr="005A1DD1">
        <w:rPr>
          <w:sz w:val="28"/>
          <w:szCs w:val="28"/>
        </w:rPr>
        <w:t xml:space="preserve"> shall be recognized as copyright infringement.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3. The judgment fully supports the compensation</w:t>
      </w:r>
      <w:r>
        <w:rPr>
          <w:sz w:val="28"/>
          <w:szCs w:val="28"/>
        </w:rPr>
        <w:t xml:space="preserve"> amount</w:t>
      </w:r>
      <w:r w:rsidRPr="005A1DD1">
        <w:rPr>
          <w:sz w:val="28"/>
          <w:szCs w:val="28"/>
        </w:rPr>
        <w:t xml:space="preserve"> of RMB 30 million claimed by Snail, and embodies the judgment </w:t>
      </w:r>
      <w:r>
        <w:rPr>
          <w:sz w:val="28"/>
          <w:szCs w:val="28"/>
        </w:rPr>
        <w:t>idea</w:t>
      </w:r>
      <w:r w:rsidRPr="005A1DD1">
        <w:rPr>
          <w:sz w:val="28"/>
          <w:szCs w:val="28"/>
        </w:rPr>
        <w:t xml:space="preserve"> of the strictest protection of intellectual property rights. After a detailed investigation, the courts of </w:t>
      </w:r>
      <w:r>
        <w:rPr>
          <w:sz w:val="28"/>
          <w:szCs w:val="28"/>
        </w:rPr>
        <w:t xml:space="preserve">the </w:t>
      </w:r>
      <w:r w:rsidRPr="005A1DD1">
        <w:rPr>
          <w:sz w:val="28"/>
          <w:szCs w:val="28"/>
        </w:rPr>
        <w:t>first and second instance</w:t>
      </w:r>
      <w:r>
        <w:rPr>
          <w:sz w:val="28"/>
          <w:szCs w:val="28"/>
        </w:rPr>
        <w:t>s</w:t>
      </w:r>
      <w:r w:rsidRPr="005A1DD1">
        <w:rPr>
          <w:sz w:val="28"/>
          <w:szCs w:val="28"/>
        </w:rPr>
        <w:t xml:space="preserve"> determined the total revenue sharing and reasonable profit margin between the two parties. In consideration of the foregoing </w:t>
      </w:r>
      <w:r w:rsidRPr="00CE0FE3">
        <w:rPr>
          <w:sz w:val="28"/>
          <w:szCs w:val="28"/>
        </w:rPr>
        <w:t xml:space="preserve">plagiarism by only changing the </w:t>
      </w:r>
      <w:r>
        <w:rPr>
          <w:sz w:val="28"/>
          <w:szCs w:val="28"/>
        </w:rPr>
        <w:t xml:space="preserve">game’s </w:t>
      </w:r>
      <w:r w:rsidR="00AB5206" w:rsidRPr="00AB5206">
        <w:rPr>
          <w:sz w:val="28"/>
          <w:szCs w:val="28"/>
        </w:rPr>
        <w:t>skin or</w:t>
      </w:r>
      <w:r>
        <w:rPr>
          <w:sz w:val="28"/>
          <w:szCs w:val="28"/>
        </w:rPr>
        <w:t xml:space="preserve"> clothes</w:t>
      </w:r>
      <w:r w:rsidRPr="005A1DD1">
        <w:rPr>
          <w:sz w:val="28"/>
          <w:szCs w:val="28"/>
        </w:rPr>
        <w:t xml:space="preserve"> carried out by the infringer, and the simultaneous launch of the mobile game The Journey of Flower during the hit TV play of the same name was broadcasted, the infringement intention was malicious and the circumstances were serious, therefore, the compensation</w:t>
      </w:r>
      <w:r>
        <w:rPr>
          <w:sz w:val="28"/>
          <w:szCs w:val="28"/>
        </w:rPr>
        <w:t xml:space="preserve"> amount</w:t>
      </w:r>
      <w:r w:rsidRPr="005A1DD1">
        <w:rPr>
          <w:sz w:val="28"/>
          <w:szCs w:val="28"/>
        </w:rPr>
        <w:t xml:space="preserve"> of RMB 30 million was determined as appropriate, which </w:t>
      </w:r>
      <w:r>
        <w:rPr>
          <w:sz w:val="28"/>
          <w:szCs w:val="28"/>
        </w:rPr>
        <w:t>wa</w:t>
      </w:r>
      <w:r w:rsidRPr="005A1DD1">
        <w:rPr>
          <w:sz w:val="28"/>
          <w:szCs w:val="28"/>
        </w:rPr>
        <w:t>s punitive to the infringement.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In recent years, China's online game industry has been developing rapidly. By 2019, the number of game users in China has reached 620 million, and the actual sales revenue of the game industry has reached RMB 230.81 billion,with </w:t>
      </w:r>
      <w:r w:rsidRPr="005A1DD1">
        <w:rPr>
          <w:sz w:val="28"/>
          <w:szCs w:val="28"/>
        </w:rPr>
        <w:lastRenderedPageBreak/>
        <w:t>a year-on-year increase of 7.7%. Under such circumstances, the value of intellectual property rights of online game works is getting increasingly higher, and the means of infringement are more and more covert. The judgment of this case has made a beneficial research and exploration on the protection of intellectual property rights of online games, which is a positive response to the development of current online game technology and is of great significance to promot</w:t>
      </w:r>
      <w:r>
        <w:rPr>
          <w:sz w:val="28"/>
          <w:szCs w:val="28"/>
        </w:rPr>
        <w:t>ing</w:t>
      </w:r>
      <w:r w:rsidRPr="005A1DD1">
        <w:rPr>
          <w:sz w:val="28"/>
          <w:szCs w:val="28"/>
        </w:rPr>
        <w:t xml:space="preserve"> the healthy development of online game industry.</w:t>
      </w:r>
    </w:p>
    <w:p w:rsidR="00824208" w:rsidRPr="005A1DD1" w:rsidRDefault="00824208" w:rsidP="00824208">
      <w:pPr>
        <w:adjustRightInd w:val="0"/>
        <w:snapToGrid w:val="0"/>
        <w:spacing w:line="312" w:lineRule="auto"/>
        <w:ind w:firstLineChars="200" w:firstLine="560"/>
        <w:rPr>
          <w:rFonts w:eastAsia="仿宋_GB2312"/>
          <w:sz w:val="28"/>
          <w:szCs w:val="28"/>
        </w:rPr>
      </w:pPr>
    </w:p>
    <w:p w:rsidR="00824208" w:rsidRPr="005A1DD1" w:rsidRDefault="00824208" w:rsidP="00824208">
      <w:pPr>
        <w:adjustRightInd w:val="0"/>
        <w:snapToGrid w:val="0"/>
        <w:spacing w:line="312" w:lineRule="auto"/>
        <w:ind w:right="301" w:firstLineChars="200" w:firstLine="560"/>
        <w:rPr>
          <w:rFonts w:eastAsia="仿宋_GB2312"/>
          <w:sz w:val="28"/>
          <w:szCs w:val="28"/>
        </w:rPr>
      </w:pPr>
      <w:r w:rsidRPr="005A1DD1">
        <w:rPr>
          <w:sz w:val="28"/>
          <w:szCs w:val="28"/>
        </w:rPr>
        <w:t>Annex I: Comparison of Certain Game Interface Screenshots (screenshots of Taichi Panda on the left and those of The Journey of Flower on the right)</w:t>
      </w:r>
    </w:p>
    <w:p w:rsidR="00824208" w:rsidRPr="005A1DD1" w:rsidRDefault="008E3AEC" w:rsidP="00824208">
      <w:pPr>
        <w:spacing w:line="312" w:lineRule="auto"/>
        <w:rPr>
          <w:sz w:val="28"/>
          <w:szCs w:val="28"/>
        </w:rPr>
      </w:pPr>
      <w:r w:rsidRPr="008906E9">
        <w:rPr>
          <w:sz w:val="28"/>
          <w:szCs w:val="28"/>
        </w:rPr>
        <w:pict>
          <v:shape id="_x0000_i1054" type="#_x0000_t75" alt="太极熊猫主界面截图" style="width:3in;height:149.6pt;visibility:visible">
            <v:imagedata r:id="rId10" o:title="太极熊猫主界面截图"/>
          </v:shape>
        </w:pict>
      </w:r>
      <w:r w:rsidRPr="008906E9">
        <w:rPr>
          <w:sz w:val="28"/>
          <w:szCs w:val="28"/>
        </w:rPr>
        <w:pict>
          <v:shape id="_x0000_i1055" type="#_x0000_t75" style="width:222.55pt;height:147.75pt;visibility:visible">
            <v:imagedata r:id="rId11" o:title=""/>
          </v:shape>
        </w:pict>
      </w:r>
    </w:p>
    <w:p w:rsidR="00824208" w:rsidRPr="005A1DD1" w:rsidRDefault="00824208" w:rsidP="00824208">
      <w:pPr>
        <w:adjustRightInd w:val="0"/>
        <w:snapToGrid w:val="0"/>
        <w:spacing w:line="312" w:lineRule="auto"/>
        <w:jc w:val="center"/>
        <w:rPr>
          <w:rFonts w:eastAsia="仿宋_GB2312"/>
          <w:sz w:val="28"/>
          <w:szCs w:val="28"/>
        </w:rPr>
      </w:pPr>
      <w:r w:rsidRPr="005A1DD1">
        <w:rPr>
          <w:sz w:val="28"/>
          <w:szCs w:val="28"/>
        </w:rPr>
        <w:t>Comparison I: Main Interface</w:t>
      </w:r>
    </w:p>
    <w:p w:rsidR="00824208" w:rsidRPr="005A1DD1" w:rsidRDefault="008E3AEC" w:rsidP="00824208">
      <w:pPr>
        <w:spacing w:line="312" w:lineRule="auto"/>
        <w:rPr>
          <w:sz w:val="28"/>
          <w:szCs w:val="28"/>
        </w:rPr>
      </w:pPr>
      <w:r w:rsidRPr="008906E9">
        <w:rPr>
          <w:sz w:val="28"/>
          <w:szCs w:val="28"/>
        </w:rPr>
        <w:pict>
          <v:shape id="_x0000_i1056" type="#_x0000_t75" style="width:212.25pt;height:149.6pt;visibility:visible">
            <v:imagedata r:id="rId12" o:title=""/>
          </v:shape>
        </w:pict>
      </w:r>
      <w:r w:rsidRPr="008906E9">
        <w:rPr>
          <w:sz w:val="28"/>
          <w:szCs w:val="28"/>
        </w:rPr>
        <w:pict>
          <v:shape id="_x0000_i1057" type="#_x0000_t75" style="width:212.25pt;height:149.6pt;visibility:visible">
            <v:imagedata r:id="rId13" o:title=""/>
          </v:shape>
        </w:pict>
      </w:r>
    </w:p>
    <w:p w:rsidR="00824208" w:rsidRPr="005A1DD1" w:rsidRDefault="00824208" w:rsidP="00824208">
      <w:pPr>
        <w:adjustRightInd w:val="0"/>
        <w:snapToGrid w:val="0"/>
        <w:spacing w:line="312" w:lineRule="auto"/>
        <w:jc w:val="center"/>
        <w:rPr>
          <w:sz w:val="28"/>
          <w:szCs w:val="28"/>
        </w:rPr>
      </w:pPr>
      <w:r w:rsidRPr="005A1DD1">
        <w:rPr>
          <w:sz w:val="28"/>
          <w:szCs w:val="28"/>
        </w:rPr>
        <w:t>Comparison II: Interface of Common Skills (Common Theurgies)</w:t>
      </w:r>
    </w:p>
    <w:p w:rsidR="00824208" w:rsidRPr="005A1DD1" w:rsidRDefault="008E3AEC" w:rsidP="00824208">
      <w:pPr>
        <w:spacing w:line="312" w:lineRule="auto"/>
        <w:rPr>
          <w:sz w:val="28"/>
          <w:szCs w:val="28"/>
        </w:rPr>
      </w:pPr>
      <w:r w:rsidRPr="008906E9">
        <w:rPr>
          <w:sz w:val="28"/>
          <w:szCs w:val="28"/>
        </w:rPr>
        <w:lastRenderedPageBreak/>
        <w:pict>
          <v:shape id="_x0000_i1058" type="#_x0000_t75" alt="太极熊猫炼星截图" style="width:219.75pt;height:149.6pt;visibility:visible">
            <v:imagedata r:id="rId14" o:title="太极熊猫炼星截图"/>
          </v:shape>
        </w:pict>
      </w:r>
      <w:r w:rsidRPr="008906E9">
        <w:rPr>
          <w:sz w:val="28"/>
          <w:szCs w:val="28"/>
        </w:rPr>
        <w:pict>
          <v:shape id="_x0000_i1059" type="#_x0000_t75" style="width:222.55pt;height:147.75pt;visibility:visible">
            <v:imagedata r:id="rId15" o:title=""/>
          </v:shape>
        </w:pict>
      </w:r>
    </w:p>
    <w:p w:rsidR="00824208" w:rsidRPr="005A1DD1" w:rsidRDefault="00824208" w:rsidP="00824208">
      <w:pPr>
        <w:spacing w:line="312" w:lineRule="auto"/>
        <w:jc w:val="center"/>
        <w:rPr>
          <w:sz w:val="28"/>
          <w:szCs w:val="28"/>
        </w:rPr>
      </w:pPr>
      <w:r w:rsidRPr="005A1DD1">
        <w:rPr>
          <w:sz w:val="28"/>
          <w:szCs w:val="28"/>
        </w:rPr>
        <w:t>Comparison III: Interface of Star Refining Playing Rules</w:t>
      </w:r>
    </w:p>
    <w:p w:rsidR="00824208" w:rsidRDefault="00824208" w:rsidP="00824208">
      <w:pPr>
        <w:adjustRightInd w:val="0"/>
        <w:snapToGrid w:val="0"/>
        <w:spacing w:line="312" w:lineRule="auto"/>
        <w:ind w:firstLineChars="200" w:firstLine="560"/>
        <w:rPr>
          <w:sz w:val="28"/>
          <w:szCs w:val="28"/>
        </w:rPr>
      </w:pPr>
    </w:p>
    <w:p w:rsidR="00824208" w:rsidRDefault="00824208" w:rsidP="00824208">
      <w:pPr>
        <w:adjustRightInd w:val="0"/>
        <w:snapToGrid w:val="0"/>
        <w:spacing w:line="312" w:lineRule="auto"/>
        <w:ind w:firstLineChars="200" w:firstLine="560"/>
        <w:rPr>
          <w:sz w:val="28"/>
          <w:szCs w:val="28"/>
        </w:rPr>
      </w:pPr>
      <w:r w:rsidRPr="005A1DD1">
        <w:rPr>
          <w:sz w:val="28"/>
          <w:szCs w:val="28"/>
        </w:rPr>
        <w:t xml:space="preserve">Annex II: Comparison of Game Equipment Attribute Values (a total of 47 equipment </w:t>
      </w:r>
      <w:r>
        <w:rPr>
          <w:sz w:val="28"/>
          <w:szCs w:val="28"/>
        </w:rPr>
        <w:t>is</w:t>
      </w:r>
      <w:r w:rsidRPr="005A1DD1">
        <w:rPr>
          <w:sz w:val="28"/>
          <w:szCs w:val="28"/>
        </w:rPr>
        <w:t xml:space="preserve"> involved with multiplied and fine-tuning values, </w:t>
      </w:r>
      <w:r>
        <w:rPr>
          <w:sz w:val="28"/>
          <w:szCs w:val="28"/>
        </w:rPr>
        <w:t>and</w:t>
      </w:r>
      <w:r w:rsidRPr="005A1DD1">
        <w:rPr>
          <w:sz w:val="28"/>
          <w:szCs w:val="28"/>
        </w:rPr>
        <w:t xml:space="preserve"> only the values of No.1 </w:t>
      </w:r>
      <w:r>
        <w:rPr>
          <w:sz w:val="28"/>
          <w:szCs w:val="28"/>
        </w:rPr>
        <w:t>and</w:t>
      </w:r>
      <w:r w:rsidRPr="005A1DD1">
        <w:rPr>
          <w:sz w:val="28"/>
          <w:szCs w:val="28"/>
        </w:rPr>
        <w:t xml:space="preserve"> No.2 equipment are shown herein)</w:t>
      </w:r>
    </w:p>
    <w:p w:rsidR="00824208" w:rsidRPr="005A1DD1" w:rsidRDefault="00824208" w:rsidP="00824208">
      <w:pPr>
        <w:adjustRightInd w:val="0"/>
        <w:snapToGrid w:val="0"/>
        <w:spacing w:line="312" w:lineRule="auto"/>
        <w:ind w:firstLineChars="200" w:firstLine="560"/>
        <w:rPr>
          <w:rFonts w:eastAsia="仿宋_GB2312"/>
          <w:sz w:val="28"/>
          <w:szCs w:val="28"/>
        </w:rPr>
      </w:pPr>
      <w:r>
        <w:rPr>
          <w:sz w:val="28"/>
          <w:szCs w:val="28"/>
        </w:rPr>
        <w:br w:type="page"/>
      </w:r>
    </w:p>
    <w:tbl>
      <w:tblPr>
        <w:tblOverlap w:val="never"/>
        <w:tblW w:w="9634" w:type="dxa"/>
        <w:jc w:val="center"/>
        <w:tblLayout w:type="fixed"/>
        <w:tblCellMar>
          <w:left w:w="10" w:type="dxa"/>
          <w:right w:w="10" w:type="dxa"/>
        </w:tblCellMar>
        <w:tblLook w:val="04A0"/>
      </w:tblPr>
      <w:tblGrid>
        <w:gridCol w:w="1271"/>
        <w:gridCol w:w="1276"/>
        <w:gridCol w:w="1417"/>
        <w:gridCol w:w="1134"/>
        <w:gridCol w:w="142"/>
        <w:gridCol w:w="1236"/>
        <w:gridCol w:w="749"/>
        <w:gridCol w:w="1417"/>
        <w:gridCol w:w="992"/>
      </w:tblGrid>
      <w:tr w:rsidR="00824208" w:rsidTr="00560D89">
        <w:trPr>
          <w:jc w:val="center"/>
        </w:trPr>
        <w:tc>
          <w:tcPr>
            <w:tcW w:w="1271" w:type="dxa"/>
            <w:vMerge w:val="restart"/>
            <w:tcBorders>
              <w:top w:val="single" w:sz="4" w:space="0" w:color="auto"/>
              <w:left w:val="single" w:sz="4" w:space="0" w:color="auto"/>
            </w:tcBorders>
            <w:shd w:val="clear" w:color="auto" w:fill="E2EFD9"/>
            <w:vAlign w:val="center"/>
          </w:tcPr>
          <w:p w:rsidR="00824208" w:rsidRPr="00C05F70" w:rsidRDefault="00824208" w:rsidP="00560D89">
            <w:pPr>
              <w:snapToGrid w:val="0"/>
              <w:jc w:val="center"/>
              <w:rPr>
                <w:rFonts w:cs="MingLiU"/>
                <w:b/>
                <w:bCs/>
                <w:sz w:val="13"/>
                <w:szCs w:val="13"/>
              </w:rPr>
            </w:pPr>
            <w:r w:rsidRPr="00C05F70">
              <w:rPr>
                <w:b/>
                <w:bCs/>
                <w:color w:val="000000"/>
                <w:sz w:val="13"/>
                <w:szCs w:val="13"/>
              </w:rPr>
              <w:t>Equipment number</w:t>
            </w:r>
          </w:p>
          <w:p w:rsidR="00824208" w:rsidRPr="00C05F70" w:rsidRDefault="00824208" w:rsidP="00560D89">
            <w:pPr>
              <w:snapToGrid w:val="0"/>
              <w:jc w:val="center"/>
              <w:rPr>
                <w:rFonts w:cs="MingLiU"/>
                <w:b/>
                <w:bCs/>
                <w:sz w:val="13"/>
                <w:szCs w:val="13"/>
              </w:rPr>
            </w:pPr>
            <w:r w:rsidRPr="008367A7">
              <w:rPr>
                <w:b/>
                <w:bCs/>
                <w:color w:val="000000"/>
                <w:sz w:val="13"/>
                <w:szCs w:val="13"/>
              </w:rPr>
              <w:t>No.1 equipment</w:t>
            </w:r>
          </w:p>
        </w:tc>
        <w:tc>
          <w:tcPr>
            <w:tcW w:w="1276" w:type="dxa"/>
            <w:tcBorders>
              <w:top w:val="single" w:sz="4" w:space="0" w:color="auto"/>
              <w:left w:val="single" w:sz="4" w:space="0" w:color="auto"/>
            </w:tcBorders>
            <w:shd w:val="clear" w:color="auto" w:fill="E2EFD9"/>
            <w:vAlign w:val="center"/>
          </w:tcPr>
          <w:p w:rsidR="00824208" w:rsidRDefault="00824208" w:rsidP="00560D89">
            <w:pPr>
              <w:snapToGrid w:val="0"/>
              <w:jc w:val="center"/>
              <w:rPr>
                <w:rFonts w:cs="MingLiU"/>
                <w:sz w:val="13"/>
                <w:szCs w:val="13"/>
              </w:rPr>
            </w:pPr>
            <w:r>
              <w:rPr>
                <w:color w:val="000000"/>
                <w:sz w:val="13"/>
                <w:szCs w:val="13"/>
              </w:rPr>
              <w:t>Video time</w:t>
            </w:r>
          </w:p>
        </w:tc>
        <w:tc>
          <w:tcPr>
            <w:tcW w:w="1417" w:type="dxa"/>
            <w:tcBorders>
              <w:top w:val="single" w:sz="4" w:space="0" w:color="auto"/>
              <w:left w:val="single" w:sz="4" w:space="0" w:color="auto"/>
            </w:tcBorders>
            <w:shd w:val="clear" w:color="auto" w:fill="E2EFD9"/>
            <w:vAlign w:val="center"/>
          </w:tcPr>
          <w:p w:rsidR="00824208" w:rsidRDefault="00824208" w:rsidP="00560D89">
            <w:pPr>
              <w:snapToGrid w:val="0"/>
              <w:jc w:val="center"/>
              <w:rPr>
                <w:rFonts w:cs="MingLiU"/>
                <w:sz w:val="13"/>
                <w:szCs w:val="13"/>
              </w:rPr>
            </w:pPr>
            <w:r w:rsidRPr="008367A7">
              <w:rPr>
                <w:color w:val="000000"/>
                <w:sz w:val="13"/>
                <w:szCs w:val="13"/>
              </w:rPr>
              <w:t>12'20</w:t>
            </w:r>
            <w:r>
              <w:rPr>
                <w:color w:val="000000"/>
                <w:sz w:val="13"/>
                <w:szCs w:val="13"/>
              </w:rPr>
              <w:t>'</w:t>
            </w:r>
            <w:r w:rsidRPr="008367A7">
              <w:rPr>
                <w:color w:val="000000"/>
                <w:sz w:val="13"/>
                <w:szCs w:val="13"/>
              </w:rPr>
              <w:t>' of Document 11</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Numerical relationship</w:t>
            </w: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
                <w:b/>
                <w:color w:val="000000"/>
                <w:sz w:val="13"/>
                <w:szCs w:val="13"/>
                <w:lang w:val="zh-CN" w:bidi="zh-CN"/>
              </w:rPr>
            </w:pPr>
          </w:p>
        </w:tc>
        <w:tc>
          <w:tcPr>
            <w:tcW w:w="1236" w:type="dxa"/>
            <w:vMerge w:val="restart"/>
            <w:tcBorders>
              <w:top w:val="single" w:sz="4" w:space="0" w:color="auto"/>
              <w:left w:val="single" w:sz="4" w:space="0" w:color="auto"/>
              <w:right w:val="single" w:sz="4" w:space="0" w:color="auto"/>
            </w:tcBorders>
            <w:shd w:val="clear" w:color="auto" w:fill="E2EFD9"/>
            <w:vAlign w:val="center"/>
          </w:tcPr>
          <w:p w:rsidR="00824208" w:rsidRDefault="00824208" w:rsidP="00560D89">
            <w:pPr>
              <w:snapToGrid w:val="0"/>
              <w:jc w:val="center"/>
              <w:rPr>
                <w:rFonts w:cs="MingLiU"/>
                <w:b/>
                <w:sz w:val="13"/>
                <w:szCs w:val="13"/>
              </w:rPr>
            </w:pPr>
            <w:r>
              <w:rPr>
                <w:b/>
                <w:color w:val="000000"/>
                <w:sz w:val="13"/>
                <w:szCs w:val="13"/>
              </w:rPr>
              <w:t>Equipment number</w:t>
            </w:r>
          </w:p>
          <w:p w:rsidR="00824208" w:rsidRDefault="00824208" w:rsidP="00560D89">
            <w:pPr>
              <w:snapToGrid w:val="0"/>
              <w:jc w:val="center"/>
              <w:rPr>
                <w:rFonts w:cs="MingLiU"/>
                <w:b/>
                <w:sz w:val="13"/>
                <w:szCs w:val="13"/>
              </w:rPr>
            </w:pPr>
            <w:r w:rsidRPr="008367A7">
              <w:rPr>
                <w:b/>
                <w:color w:val="000000"/>
                <w:sz w:val="13"/>
                <w:szCs w:val="13"/>
              </w:rPr>
              <w:t>No.</w:t>
            </w:r>
            <w:r>
              <w:rPr>
                <w:b/>
                <w:color w:val="000000"/>
                <w:sz w:val="13"/>
                <w:szCs w:val="13"/>
              </w:rPr>
              <w:t>2</w:t>
            </w:r>
            <w:r w:rsidRPr="008367A7">
              <w:rPr>
                <w:b/>
                <w:color w:val="000000"/>
                <w:sz w:val="13"/>
                <w:szCs w:val="13"/>
              </w:rPr>
              <w:t xml:space="preserve"> equipment</w:t>
            </w:r>
          </w:p>
        </w:tc>
        <w:tc>
          <w:tcPr>
            <w:tcW w:w="749" w:type="dxa"/>
            <w:tcBorders>
              <w:top w:val="single" w:sz="4" w:space="0" w:color="auto"/>
              <w:left w:val="single" w:sz="4" w:space="0" w:color="auto"/>
              <w:right w:val="single" w:sz="4" w:space="0" w:color="auto"/>
            </w:tcBorders>
            <w:shd w:val="clear" w:color="auto" w:fill="E2EFD9"/>
            <w:vAlign w:val="center"/>
          </w:tcPr>
          <w:p w:rsidR="00824208" w:rsidRDefault="00824208" w:rsidP="00560D89">
            <w:pPr>
              <w:snapToGrid w:val="0"/>
              <w:jc w:val="center"/>
              <w:rPr>
                <w:rFonts w:cs="MingLiU"/>
                <w:sz w:val="13"/>
                <w:szCs w:val="13"/>
              </w:rPr>
            </w:pPr>
            <w:r>
              <w:rPr>
                <w:color w:val="000000"/>
                <w:sz w:val="13"/>
                <w:szCs w:val="13"/>
              </w:rPr>
              <w:t>Video time</w:t>
            </w:r>
          </w:p>
        </w:tc>
        <w:tc>
          <w:tcPr>
            <w:tcW w:w="1417" w:type="dxa"/>
            <w:tcBorders>
              <w:top w:val="single" w:sz="4" w:space="0" w:color="auto"/>
              <w:left w:val="single" w:sz="4" w:space="0" w:color="auto"/>
              <w:right w:val="single" w:sz="4" w:space="0" w:color="auto"/>
            </w:tcBorders>
            <w:shd w:val="clear" w:color="auto" w:fill="E2EFD9"/>
            <w:vAlign w:val="center"/>
          </w:tcPr>
          <w:p w:rsidR="00824208" w:rsidRDefault="00824208" w:rsidP="00560D89">
            <w:pPr>
              <w:snapToGrid w:val="0"/>
              <w:jc w:val="center"/>
              <w:rPr>
                <w:rFonts w:cs="MingLiU"/>
                <w:sz w:val="13"/>
                <w:szCs w:val="13"/>
              </w:rPr>
            </w:pPr>
            <w:r w:rsidRPr="008367A7">
              <w:rPr>
                <w:color w:val="000000"/>
                <w:sz w:val="13"/>
                <w:szCs w:val="13"/>
              </w:rPr>
              <w:t>1</w:t>
            </w:r>
            <w:r>
              <w:rPr>
                <w:color w:val="000000"/>
                <w:sz w:val="13"/>
                <w:szCs w:val="13"/>
              </w:rPr>
              <w:t>1</w:t>
            </w:r>
            <w:r w:rsidRPr="008367A7">
              <w:rPr>
                <w:color w:val="000000"/>
                <w:sz w:val="13"/>
                <w:szCs w:val="13"/>
              </w:rPr>
              <w:t>'</w:t>
            </w:r>
            <w:r>
              <w:rPr>
                <w:color w:val="000000"/>
                <w:sz w:val="13"/>
                <w:szCs w:val="13"/>
              </w:rPr>
              <w:t>3</w:t>
            </w:r>
            <w:r w:rsidRPr="008367A7">
              <w:rPr>
                <w:color w:val="000000"/>
                <w:sz w:val="13"/>
                <w:szCs w:val="13"/>
              </w:rPr>
              <w:t>0</w:t>
            </w:r>
            <w:r>
              <w:rPr>
                <w:color w:val="000000"/>
                <w:sz w:val="13"/>
                <w:szCs w:val="13"/>
              </w:rPr>
              <w:t>'</w:t>
            </w:r>
            <w:r w:rsidRPr="008367A7">
              <w:rPr>
                <w:color w:val="000000"/>
                <w:sz w:val="13"/>
                <w:szCs w:val="13"/>
              </w:rPr>
              <w:t>' of Document 11</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Numerical relationship</w:t>
            </w:r>
          </w:p>
        </w:tc>
      </w:tr>
      <w:tr w:rsidR="00824208" w:rsidTr="00560D89">
        <w:trPr>
          <w:jc w:val="center"/>
        </w:trPr>
        <w:tc>
          <w:tcPr>
            <w:tcW w:w="1271" w:type="dxa"/>
            <w:vMerge/>
            <w:tcBorders>
              <w:left w:val="single" w:sz="4" w:space="0" w:color="auto"/>
            </w:tcBorders>
            <w:shd w:val="clear" w:color="auto" w:fill="E2EFD9"/>
            <w:vAlign w:val="center"/>
          </w:tcPr>
          <w:p w:rsidR="00824208" w:rsidRPr="00C05F70" w:rsidRDefault="00824208" w:rsidP="00560D89">
            <w:pPr>
              <w:snapToGrid w:val="0"/>
              <w:jc w:val="center"/>
              <w:rPr>
                <w:rFonts w:cs="MingLiU_HKSCS"/>
                <w:b/>
                <w:bCs/>
                <w:color w:val="000000"/>
                <w:kern w:val="0"/>
                <w:sz w:val="13"/>
                <w:szCs w:val="13"/>
                <w:lang w:eastAsia="en-US" w:bidi="en-US"/>
              </w:rPr>
            </w:pPr>
          </w:p>
        </w:tc>
        <w:tc>
          <w:tcPr>
            <w:tcW w:w="1276" w:type="dxa"/>
            <w:tcBorders>
              <w:top w:val="single" w:sz="4" w:space="0" w:color="auto"/>
              <w:left w:val="single" w:sz="4" w:space="0" w:color="auto"/>
            </w:tcBorders>
            <w:shd w:val="clear" w:color="auto" w:fill="E2EFD9"/>
            <w:vAlign w:val="center"/>
          </w:tcPr>
          <w:p w:rsidR="00824208" w:rsidRDefault="00824208" w:rsidP="00560D89">
            <w:pPr>
              <w:snapToGrid w:val="0"/>
              <w:jc w:val="center"/>
              <w:rPr>
                <w:rFonts w:cs="MingLiU"/>
                <w:sz w:val="13"/>
                <w:szCs w:val="13"/>
              </w:rPr>
            </w:pPr>
            <w:r w:rsidRPr="008367A7">
              <w:rPr>
                <w:color w:val="000000"/>
                <w:sz w:val="13"/>
                <w:szCs w:val="13"/>
              </w:rPr>
              <w:t>Jiansaidong Armor</w:t>
            </w:r>
          </w:p>
        </w:tc>
        <w:tc>
          <w:tcPr>
            <w:tcW w:w="1417" w:type="dxa"/>
            <w:tcBorders>
              <w:top w:val="single" w:sz="4" w:space="0" w:color="auto"/>
              <w:left w:val="single" w:sz="4" w:space="0" w:color="auto"/>
            </w:tcBorders>
            <w:shd w:val="clear" w:color="auto" w:fill="E2EFD9"/>
            <w:vAlign w:val="center"/>
          </w:tcPr>
          <w:p w:rsidR="00824208" w:rsidRDefault="00824208" w:rsidP="00560D89">
            <w:pPr>
              <w:snapToGrid w:val="0"/>
              <w:jc w:val="center"/>
              <w:rPr>
                <w:rFonts w:cs="MingLiU"/>
                <w:sz w:val="13"/>
                <w:szCs w:val="13"/>
              </w:rPr>
            </w:pPr>
            <w:r w:rsidRPr="008367A7">
              <w:rPr>
                <w:color w:val="000000"/>
                <w:sz w:val="13"/>
                <w:szCs w:val="13"/>
              </w:rPr>
              <w:t>Immortal God Robe</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_HKSCS"/>
                <w:b/>
                <w:color w:val="000000"/>
                <w:kern w:val="0"/>
                <w:sz w:val="13"/>
                <w:szCs w:val="13"/>
                <w:lang w:eastAsia="en-US" w:bidi="en-US"/>
              </w:rPr>
            </w:pPr>
          </w:p>
        </w:tc>
        <w:tc>
          <w:tcPr>
            <w:tcW w:w="1236" w:type="dxa"/>
            <w:vMerge/>
            <w:tcBorders>
              <w:left w:val="single" w:sz="4" w:space="0" w:color="auto"/>
              <w:right w:val="single" w:sz="4" w:space="0" w:color="auto"/>
            </w:tcBorders>
            <w:shd w:val="clear" w:color="auto" w:fill="E2EFD9"/>
            <w:vAlign w:val="center"/>
          </w:tcPr>
          <w:p w:rsidR="00824208" w:rsidRDefault="00824208" w:rsidP="00560D89">
            <w:pPr>
              <w:snapToGrid w:val="0"/>
              <w:jc w:val="center"/>
              <w:rPr>
                <w:rFonts w:cs="MingLiU_HKSCS"/>
                <w:b/>
                <w:color w:val="000000"/>
                <w:kern w:val="0"/>
                <w:sz w:val="13"/>
                <w:szCs w:val="13"/>
                <w:lang w:eastAsia="en-US" w:bidi="en-US"/>
              </w:rPr>
            </w:pPr>
          </w:p>
        </w:tc>
        <w:tc>
          <w:tcPr>
            <w:tcW w:w="749" w:type="dxa"/>
            <w:tcBorders>
              <w:top w:val="single" w:sz="4" w:space="0" w:color="auto"/>
              <w:left w:val="single" w:sz="4" w:space="0" w:color="auto"/>
              <w:right w:val="single" w:sz="4" w:space="0" w:color="auto"/>
            </w:tcBorders>
            <w:shd w:val="clear" w:color="auto" w:fill="E2EFD9"/>
            <w:vAlign w:val="center"/>
          </w:tcPr>
          <w:p w:rsidR="00824208" w:rsidRDefault="00824208" w:rsidP="00560D89">
            <w:pPr>
              <w:snapToGrid w:val="0"/>
              <w:jc w:val="center"/>
              <w:rPr>
                <w:rFonts w:cs="MingLiU"/>
                <w:sz w:val="13"/>
                <w:szCs w:val="13"/>
              </w:rPr>
            </w:pPr>
            <w:r w:rsidRPr="008367A7">
              <w:rPr>
                <w:color w:val="000000"/>
                <w:sz w:val="13"/>
                <w:szCs w:val="13"/>
              </w:rPr>
              <w:t>Wave Caliga</w:t>
            </w:r>
          </w:p>
        </w:tc>
        <w:tc>
          <w:tcPr>
            <w:tcW w:w="1417" w:type="dxa"/>
            <w:tcBorders>
              <w:top w:val="single" w:sz="4" w:space="0" w:color="auto"/>
              <w:left w:val="single" w:sz="4" w:space="0" w:color="auto"/>
              <w:right w:val="single" w:sz="4" w:space="0" w:color="auto"/>
            </w:tcBorders>
            <w:shd w:val="clear" w:color="auto" w:fill="E2EFD9"/>
            <w:vAlign w:val="center"/>
          </w:tcPr>
          <w:p w:rsidR="00824208" w:rsidRDefault="00824208" w:rsidP="00560D89">
            <w:pPr>
              <w:snapToGrid w:val="0"/>
              <w:jc w:val="center"/>
              <w:rPr>
                <w:rFonts w:cs="MingLiU"/>
                <w:sz w:val="13"/>
                <w:szCs w:val="13"/>
              </w:rPr>
            </w:pPr>
            <w:r w:rsidRPr="008367A7">
              <w:rPr>
                <w:color w:val="000000"/>
                <w:sz w:val="13"/>
                <w:szCs w:val="13"/>
              </w:rPr>
              <w:t>Immortal Fantastic Caliga</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r>
      <w:tr w:rsidR="00824208" w:rsidTr="00560D89">
        <w:trPr>
          <w:jc w:val="center"/>
        </w:trPr>
        <w:tc>
          <w:tcPr>
            <w:tcW w:w="1271" w:type="dxa"/>
            <w:tcBorders>
              <w:top w:val="single" w:sz="4" w:space="0" w:color="auto"/>
              <w:left w:val="single" w:sz="4" w:space="0" w:color="auto"/>
            </w:tcBorders>
            <w:shd w:val="clear" w:color="auto" w:fill="E2EFD9"/>
            <w:vAlign w:val="center"/>
          </w:tcPr>
          <w:p w:rsidR="00824208" w:rsidRPr="00C05F70" w:rsidRDefault="00824208" w:rsidP="00560D89">
            <w:pPr>
              <w:snapToGrid w:val="0"/>
              <w:jc w:val="center"/>
              <w:rPr>
                <w:rFonts w:cs="MingLiU"/>
                <w:b/>
                <w:bCs/>
                <w:sz w:val="13"/>
                <w:szCs w:val="13"/>
              </w:rPr>
            </w:pPr>
            <w:r w:rsidRPr="00C05F70">
              <w:rPr>
                <w:b/>
                <w:bCs/>
                <w:color w:val="000000"/>
                <w:sz w:val="13"/>
                <w:szCs w:val="13"/>
              </w:rPr>
              <w:t>Part</w:t>
            </w:r>
          </w:p>
        </w:tc>
        <w:tc>
          <w:tcPr>
            <w:tcW w:w="1276" w:type="dxa"/>
            <w:tcBorders>
              <w:top w:val="single" w:sz="4" w:space="0" w:color="auto"/>
              <w:left w:val="single" w:sz="4" w:space="0" w:color="auto"/>
            </w:tcBorders>
            <w:shd w:val="clear" w:color="auto" w:fill="E2EFD9"/>
            <w:vAlign w:val="center"/>
          </w:tcPr>
          <w:p w:rsidR="00824208" w:rsidRDefault="00824208" w:rsidP="00560D89">
            <w:pPr>
              <w:snapToGrid w:val="0"/>
              <w:jc w:val="center"/>
              <w:rPr>
                <w:rFonts w:cs="MingLiU"/>
                <w:sz w:val="13"/>
                <w:szCs w:val="13"/>
              </w:rPr>
            </w:pPr>
            <w:r>
              <w:rPr>
                <w:color w:val="000000"/>
                <w:sz w:val="13"/>
                <w:szCs w:val="13"/>
              </w:rPr>
              <w:t>Clothes</w:t>
            </w:r>
          </w:p>
        </w:tc>
        <w:tc>
          <w:tcPr>
            <w:tcW w:w="1417" w:type="dxa"/>
            <w:tcBorders>
              <w:top w:val="single" w:sz="4" w:space="0" w:color="auto"/>
              <w:left w:val="single" w:sz="4" w:space="0" w:color="auto"/>
            </w:tcBorders>
            <w:shd w:val="clear" w:color="auto" w:fill="E2EFD9"/>
            <w:vAlign w:val="center"/>
          </w:tcPr>
          <w:p w:rsidR="00824208" w:rsidRDefault="00824208" w:rsidP="00560D89">
            <w:pPr>
              <w:snapToGrid w:val="0"/>
              <w:jc w:val="center"/>
              <w:rPr>
                <w:rFonts w:cs="MingLiU"/>
                <w:sz w:val="13"/>
                <w:szCs w:val="13"/>
              </w:rPr>
            </w:pPr>
            <w:r>
              <w:rPr>
                <w:color w:val="000000"/>
                <w:sz w:val="13"/>
                <w:szCs w:val="13"/>
              </w:rPr>
              <w:t>Clothes</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
                <w:b/>
                <w:color w:val="000000"/>
                <w:sz w:val="13"/>
                <w:szCs w:val="13"/>
                <w:lang w:val="zh-CN" w:bidi="zh-CN"/>
              </w:rPr>
            </w:pPr>
          </w:p>
        </w:tc>
        <w:tc>
          <w:tcPr>
            <w:tcW w:w="1236" w:type="dxa"/>
            <w:tcBorders>
              <w:top w:val="single" w:sz="4" w:space="0" w:color="auto"/>
              <w:left w:val="single" w:sz="4" w:space="0" w:color="auto"/>
              <w:right w:val="single" w:sz="4" w:space="0" w:color="auto"/>
            </w:tcBorders>
            <w:shd w:val="clear" w:color="auto" w:fill="E2EFD9"/>
            <w:vAlign w:val="center"/>
          </w:tcPr>
          <w:p w:rsidR="00824208" w:rsidRDefault="00824208" w:rsidP="00560D89">
            <w:pPr>
              <w:snapToGrid w:val="0"/>
              <w:jc w:val="center"/>
              <w:rPr>
                <w:rFonts w:cs="MingLiU"/>
                <w:b/>
                <w:sz w:val="13"/>
                <w:szCs w:val="13"/>
              </w:rPr>
            </w:pPr>
            <w:r>
              <w:rPr>
                <w:b/>
                <w:color w:val="000000"/>
                <w:sz w:val="13"/>
                <w:szCs w:val="13"/>
              </w:rPr>
              <w:t>Part</w:t>
            </w:r>
          </w:p>
        </w:tc>
        <w:tc>
          <w:tcPr>
            <w:tcW w:w="749" w:type="dxa"/>
            <w:tcBorders>
              <w:top w:val="single" w:sz="4" w:space="0" w:color="auto"/>
              <w:left w:val="single" w:sz="4" w:space="0" w:color="auto"/>
              <w:right w:val="single" w:sz="4" w:space="0" w:color="auto"/>
            </w:tcBorders>
            <w:shd w:val="clear" w:color="auto" w:fill="E2EFD9"/>
            <w:vAlign w:val="center"/>
          </w:tcPr>
          <w:p w:rsidR="00824208" w:rsidRDefault="00824208" w:rsidP="00560D89">
            <w:pPr>
              <w:snapToGrid w:val="0"/>
              <w:jc w:val="center"/>
              <w:rPr>
                <w:rFonts w:cs="MingLiU"/>
                <w:sz w:val="13"/>
                <w:szCs w:val="13"/>
              </w:rPr>
            </w:pPr>
            <w:r>
              <w:rPr>
                <w:color w:val="000000"/>
                <w:sz w:val="13"/>
                <w:szCs w:val="13"/>
              </w:rPr>
              <w:t>Shoes</w:t>
            </w:r>
          </w:p>
        </w:tc>
        <w:tc>
          <w:tcPr>
            <w:tcW w:w="1417" w:type="dxa"/>
            <w:tcBorders>
              <w:top w:val="single" w:sz="4" w:space="0" w:color="auto"/>
              <w:left w:val="single" w:sz="4" w:space="0" w:color="auto"/>
              <w:right w:val="single" w:sz="4" w:space="0" w:color="auto"/>
            </w:tcBorders>
            <w:shd w:val="clear" w:color="auto" w:fill="E2EFD9"/>
            <w:vAlign w:val="center"/>
          </w:tcPr>
          <w:p w:rsidR="00824208" w:rsidRDefault="00824208" w:rsidP="00560D89">
            <w:pPr>
              <w:snapToGrid w:val="0"/>
              <w:jc w:val="center"/>
              <w:rPr>
                <w:rFonts w:cs="MingLiU"/>
                <w:sz w:val="13"/>
                <w:szCs w:val="13"/>
              </w:rPr>
            </w:pPr>
            <w:r>
              <w:rPr>
                <w:color w:val="000000"/>
                <w:sz w:val="13"/>
                <w:szCs w:val="13"/>
              </w:rPr>
              <w:t>Shoes</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r>
      <w:tr w:rsidR="00824208" w:rsidTr="00560D89">
        <w:trPr>
          <w:jc w:val="center"/>
        </w:trPr>
        <w:tc>
          <w:tcPr>
            <w:tcW w:w="1271" w:type="dxa"/>
            <w:tcBorders>
              <w:top w:val="single" w:sz="4" w:space="0" w:color="auto"/>
              <w:left w:val="single" w:sz="4" w:space="0" w:color="auto"/>
            </w:tcBorders>
            <w:shd w:val="clear" w:color="auto" w:fill="E2EFD9"/>
            <w:vAlign w:val="center"/>
          </w:tcPr>
          <w:p w:rsidR="00824208" w:rsidRPr="00C05F70" w:rsidRDefault="00824208" w:rsidP="00560D89">
            <w:pPr>
              <w:snapToGrid w:val="0"/>
              <w:jc w:val="center"/>
              <w:rPr>
                <w:rFonts w:cs="MingLiU_HKSCS"/>
                <w:b/>
                <w:bCs/>
                <w:color w:val="000000"/>
                <w:kern w:val="0"/>
                <w:sz w:val="13"/>
                <w:szCs w:val="13"/>
              </w:rPr>
            </w:pPr>
            <w:r w:rsidRPr="00C05F70">
              <w:rPr>
                <w:b/>
                <w:bCs/>
                <w:color w:val="000000"/>
                <w:sz w:val="13"/>
                <w:szCs w:val="13"/>
              </w:rPr>
              <w:t>Quality</w:t>
            </w:r>
          </w:p>
        </w:tc>
        <w:tc>
          <w:tcPr>
            <w:tcW w:w="1276" w:type="dxa"/>
            <w:tcBorders>
              <w:top w:val="single" w:sz="4" w:space="0" w:color="auto"/>
              <w:left w:val="single" w:sz="4" w:space="0" w:color="auto"/>
            </w:tcBorders>
            <w:shd w:val="clear" w:color="auto" w:fill="E2EFD9"/>
            <w:vAlign w:val="center"/>
          </w:tcPr>
          <w:p w:rsidR="00824208" w:rsidRDefault="00824208" w:rsidP="00560D89">
            <w:pPr>
              <w:snapToGrid w:val="0"/>
              <w:jc w:val="center"/>
              <w:rPr>
                <w:rFonts w:cs="MingLiU_HKSCS"/>
                <w:color w:val="000000"/>
                <w:kern w:val="0"/>
                <w:sz w:val="13"/>
                <w:szCs w:val="13"/>
              </w:rPr>
            </w:pPr>
            <w:r>
              <w:rPr>
                <w:color w:val="000000"/>
                <w:sz w:val="13"/>
                <w:szCs w:val="13"/>
              </w:rPr>
              <w:t>Orange</w:t>
            </w:r>
          </w:p>
        </w:tc>
        <w:tc>
          <w:tcPr>
            <w:tcW w:w="1417" w:type="dxa"/>
            <w:tcBorders>
              <w:top w:val="single" w:sz="4" w:space="0" w:color="auto"/>
              <w:left w:val="single" w:sz="4" w:space="0" w:color="auto"/>
            </w:tcBorders>
            <w:shd w:val="clear" w:color="auto" w:fill="E2EFD9"/>
            <w:vAlign w:val="center"/>
          </w:tcPr>
          <w:p w:rsidR="00824208" w:rsidRDefault="00824208" w:rsidP="00560D89">
            <w:pPr>
              <w:snapToGrid w:val="0"/>
              <w:jc w:val="center"/>
              <w:rPr>
                <w:rFonts w:cs="MingLiU"/>
                <w:sz w:val="13"/>
                <w:szCs w:val="13"/>
              </w:rPr>
            </w:pPr>
            <w:r>
              <w:rPr>
                <w:color w:val="000000"/>
                <w:sz w:val="13"/>
                <w:szCs w:val="13"/>
              </w:rPr>
              <w:t>Masterpiece</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
                <w:b/>
                <w:color w:val="000000"/>
                <w:sz w:val="13"/>
                <w:szCs w:val="13"/>
                <w:lang w:val="zh-CN" w:bidi="zh-CN"/>
              </w:rPr>
            </w:pPr>
          </w:p>
        </w:tc>
        <w:tc>
          <w:tcPr>
            <w:tcW w:w="1236" w:type="dxa"/>
            <w:tcBorders>
              <w:top w:val="single" w:sz="4" w:space="0" w:color="auto"/>
              <w:left w:val="single" w:sz="4" w:space="0" w:color="auto"/>
              <w:right w:val="single" w:sz="4" w:space="0" w:color="auto"/>
            </w:tcBorders>
            <w:shd w:val="clear" w:color="auto" w:fill="E2EFD9"/>
            <w:vAlign w:val="center"/>
          </w:tcPr>
          <w:p w:rsidR="00824208" w:rsidRDefault="00824208" w:rsidP="00560D89">
            <w:pPr>
              <w:snapToGrid w:val="0"/>
              <w:jc w:val="center"/>
              <w:rPr>
                <w:rFonts w:cs="MingLiU"/>
                <w:b/>
                <w:sz w:val="13"/>
                <w:szCs w:val="13"/>
              </w:rPr>
            </w:pPr>
            <w:r>
              <w:rPr>
                <w:b/>
                <w:color w:val="000000"/>
                <w:sz w:val="13"/>
                <w:szCs w:val="13"/>
              </w:rPr>
              <w:t>Quality</w:t>
            </w:r>
          </w:p>
        </w:tc>
        <w:tc>
          <w:tcPr>
            <w:tcW w:w="749" w:type="dxa"/>
            <w:tcBorders>
              <w:top w:val="single" w:sz="4" w:space="0" w:color="auto"/>
              <w:left w:val="single" w:sz="4" w:space="0" w:color="auto"/>
              <w:right w:val="single" w:sz="4" w:space="0" w:color="auto"/>
            </w:tcBorders>
            <w:shd w:val="clear" w:color="auto" w:fill="E2EFD9"/>
            <w:vAlign w:val="center"/>
          </w:tcPr>
          <w:p w:rsidR="00824208" w:rsidRDefault="00824208" w:rsidP="00560D89">
            <w:pPr>
              <w:snapToGrid w:val="0"/>
              <w:jc w:val="center"/>
              <w:rPr>
                <w:rFonts w:cs="MingLiU_HKSCS"/>
                <w:color w:val="000000"/>
                <w:kern w:val="0"/>
                <w:sz w:val="13"/>
                <w:szCs w:val="13"/>
              </w:rPr>
            </w:pPr>
            <w:r>
              <w:rPr>
                <w:color w:val="000000"/>
                <w:sz w:val="13"/>
                <w:szCs w:val="13"/>
              </w:rPr>
              <w:t>Orange</w:t>
            </w:r>
          </w:p>
        </w:tc>
        <w:tc>
          <w:tcPr>
            <w:tcW w:w="1417" w:type="dxa"/>
            <w:tcBorders>
              <w:top w:val="single" w:sz="4" w:space="0" w:color="auto"/>
              <w:left w:val="single" w:sz="4" w:space="0" w:color="auto"/>
              <w:right w:val="single" w:sz="4" w:space="0" w:color="auto"/>
            </w:tcBorders>
            <w:shd w:val="clear" w:color="auto" w:fill="E2EFD9"/>
            <w:vAlign w:val="center"/>
          </w:tcPr>
          <w:p w:rsidR="00824208" w:rsidRDefault="00824208" w:rsidP="00560D89">
            <w:pPr>
              <w:snapToGrid w:val="0"/>
              <w:jc w:val="center"/>
              <w:rPr>
                <w:rFonts w:cs="MingLiU"/>
                <w:sz w:val="13"/>
                <w:szCs w:val="13"/>
              </w:rPr>
            </w:pPr>
            <w:r>
              <w:rPr>
                <w:color w:val="000000"/>
                <w:sz w:val="13"/>
                <w:szCs w:val="13"/>
              </w:rPr>
              <w:t>Masterpiece</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r>
      <w:tr w:rsidR="00824208" w:rsidTr="00560D89">
        <w:trPr>
          <w:jc w:val="center"/>
        </w:trPr>
        <w:tc>
          <w:tcPr>
            <w:tcW w:w="1271" w:type="dxa"/>
            <w:tcBorders>
              <w:top w:val="single" w:sz="4" w:space="0" w:color="auto"/>
              <w:left w:val="single" w:sz="4" w:space="0" w:color="auto"/>
            </w:tcBorders>
            <w:shd w:val="clear" w:color="auto" w:fill="E2EFD9"/>
            <w:vAlign w:val="center"/>
          </w:tcPr>
          <w:p w:rsidR="00824208" w:rsidRPr="00C05F70" w:rsidRDefault="00824208" w:rsidP="00560D89">
            <w:pPr>
              <w:snapToGrid w:val="0"/>
              <w:jc w:val="center"/>
              <w:rPr>
                <w:rFonts w:cs="MingLiU"/>
                <w:b/>
                <w:bCs/>
                <w:sz w:val="13"/>
                <w:szCs w:val="13"/>
              </w:rPr>
            </w:pPr>
            <w:r w:rsidRPr="00C05F70">
              <w:rPr>
                <w:b/>
                <w:bCs/>
                <w:color w:val="000000"/>
                <w:sz w:val="13"/>
                <w:szCs w:val="13"/>
              </w:rPr>
              <w:t>Suit</w:t>
            </w:r>
          </w:p>
        </w:tc>
        <w:tc>
          <w:tcPr>
            <w:tcW w:w="1276" w:type="dxa"/>
            <w:tcBorders>
              <w:top w:val="single" w:sz="4" w:space="0" w:color="auto"/>
              <w:left w:val="single" w:sz="4" w:space="0" w:color="auto"/>
            </w:tcBorders>
            <w:shd w:val="clear" w:color="auto" w:fill="E2EFD9"/>
            <w:vAlign w:val="center"/>
          </w:tcPr>
          <w:p w:rsidR="00824208" w:rsidRDefault="00824208" w:rsidP="00560D89">
            <w:pPr>
              <w:snapToGrid w:val="0"/>
              <w:jc w:val="center"/>
              <w:rPr>
                <w:rFonts w:cs="MingLiU"/>
                <w:sz w:val="13"/>
                <w:szCs w:val="13"/>
              </w:rPr>
            </w:pPr>
            <w:r>
              <w:rPr>
                <w:color w:val="000000"/>
                <w:sz w:val="13"/>
                <w:szCs w:val="13"/>
              </w:rPr>
              <w:t>Ocean</w:t>
            </w:r>
          </w:p>
        </w:tc>
        <w:tc>
          <w:tcPr>
            <w:tcW w:w="1417" w:type="dxa"/>
            <w:tcBorders>
              <w:top w:val="single" w:sz="4" w:space="0" w:color="auto"/>
              <w:left w:val="single" w:sz="4" w:space="0" w:color="auto"/>
            </w:tcBorders>
            <w:shd w:val="clear" w:color="auto" w:fill="E2EFD9"/>
            <w:vAlign w:val="center"/>
          </w:tcPr>
          <w:p w:rsidR="00824208" w:rsidRDefault="00824208" w:rsidP="00560D89">
            <w:pPr>
              <w:snapToGrid w:val="0"/>
              <w:jc w:val="center"/>
              <w:rPr>
                <w:rFonts w:cs="MingLiU"/>
                <w:sz w:val="13"/>
                <w:szCs w:val="13"/>
              </w:rPr>
            </w:pPr>
            <w:r>
              <w:rPr>
                <w:color w:val="000000"/>
                <w:sz w:val="13"/>
                <w:szCs w:val="13"/>
              </w:rPr>
              <w:t>Immortal</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
                <w:b/>
                <w:color w:val="000000"/>
                <w:sz w:val="13"/>
                <w:szCs w:val="13"/>
                <w:lang w:val="zh-CN" w:bidi="zh-CN"/>
              </w:rPr>
            </w:pPr>
          </w:p>
        </w:tc>
        <w:tc>
          <w:tcPr>
            <w:tcW w:w="1236" w:type="dxa"/>
            <w:tcBorders>
              <w:top w:val="single" w:sz="4" w:space="0" w:color="auto"/>
              <w:left w:val="single" w:sz="4" w:space="0" w:color="auto"/>
              <w:right w:val="single" w:sz="4" w:space="0" w:color="auto"/>
            </w:tcBorders>
            <w:shd w:val="clear" w:color="auto" w:fill="E2EFD9"/>
            <w:vAlign w:val="center"/>
          </w:tcPr>
          <w:p w:rsidR="00824208" w:rsidRDefault="00824208" w:rsidP="00560D89">
            <w:pPr>
              <w:snapToGrid w:val="0"/>
              <w:jc w:val="center"/>
              <w:rPr>
                <w:rFonts w:cs="MingLiU"/>
                <w:b/>
                <w:sz w:val="13"/>
                <w:szCs w:val="13"/>
              </w:rPr>
            </w:pPr>
            <w:r>
              <w:rPr>
                <w:b/>
                <w:color w:val="000000"/>
                <w:sz w:val="13"/>
                <w:szCs w:val="13"/>
              </w:rPr>
              <w:t>Suit</w:t>
            </w:r>
          </w:p>
        </w:tc>
        <w:tc>
          <w:tcPr>
            <w:tcW w:w="749" w:type="dxa"/>
            <w:tcBorders>
              <w:top w:val="single" w:sz="4" w:space="0" w:color="auto"/>
              <w:left w:val="single" w:sz="4" w:space="0" w:color="auto"/>
              <w:right w:val="single" w:sz="4" w:space="0" w:color="auto"/>
            </w:tcBorders>
            <w:shd w:val="clear" w:color="auto" w:fill="E2EFD9"/>
            <w:vAlign w:val="center"/>
          </w:tcPr>
          <w:p w:rsidR="00824208" w:rsidRDefault="00824208" w:rsidP="00560D89">
            <w:pPr>
              <w:snapToGrid w:val="0"/>
              <w:jc w:val="center"/>
              <w:rPr>
                <w:rFonts w:cs="MingLiU"/>
                <w:sz w:val="13"/>
                <w:szCs w:val="13"/>
              </w:rPr>
            </w:pPr>
            <w:r>
              <w:rPr>
                <w:color w:val="000000"/>
                <w:sz w:val="13"/>
                <w:szCs w:val="13"/>
              </w:rPr>
              <w:t>Ocean</w:t>
            </w:r>
          </w:p>
        </w:tc>
        <w:tc>
          <w:tcPr>
            <w:tcW w:w="1417" w:type="dxa"/>
            <w:tcBorders>
              <w:top w:val="single" w:sz="4" w:space="0" w:color="auto"/>
              <w:left w:val="single" w:sz="4" w:space="0" w:color="auto"/>
              <w:right w:val="single" w:sz="4" w:space="0" w:color="auto"/>
            </w:tcBorders>
            <w:shd w:val="clear" w:color="auto" w:fill="E2EFD9"/>
            <w:vAlign w:val="center"/>
          </w:tcPr>
          <w:p w:rsidR="00824208" w:rsidRDefault="00824208" w:rsidP="00560D89">
            <w:pPr>
              <w:snapToGrid w:val="0"/>
              <w:jc w:val="center"/>
              <w:rPr>
                <w:rFonts w:cs="MingLiU"/>
                <w:sz w:val="13"/>
                <w:szCs w:val="13"/>
              </w:rPr>
            </w:pPr>
            <w:r>
              <w:rPr>
                <w:color w:val="000000"/>
                <w:sz w:val="13"/>
                <w:szCs w:val="13"/>
              </w:rPr>
              <w:t>Immortal</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r>
      <w:tr w:rsidR="00824208" w:rsidTr="00560D89">
        <w:trPr>
          <w:jc w:val="center"/>
        </w:trPr>
        <w:tc>
          <w:tcPr>
            <w:tcW w:w="1271" w:type="dxa"/>
            <w:tcBorders>
              <w:top w:val="single" w:sz="4" w:space="0" w:color="auto"/>
              <w:left w:val="single" w:sz="4" w:space="0" w:color="auto"/>
            </w:tcBorders>
            <w:shd w:val="clear" w:color="auto" w:fill="E2EFD9"/>
            <w:vAlign w:val="center"/>
          </w:tcPr>
          <w:p w:rsidR="00824208" w:rsidRPr="00C05F70" w:rsidRDefault="00824208" w:rsidP="00560D89">
            <w:pPr>
              <w:snapToGrid w:val="0"/>
              <w:jc w:val="center"/>
              <w:rPr>
                <w:rFonts w:cs="MingLiU"/>
                <w:b/>
                <w:bCs/>
                <w:sz w:val="13"/>
                <w:szCs w:val="13"/>
              </w:rPr>
            </w:pPr>
            <w:r w:rsidRPr="00C05F70">
              <w:rPr>
                <w:b/>
                <w:bCs/>
                <w:color w:val="000000"/>
                <w:sz w:val="13"/>
                <w:szCs w:val="13"/>
              </w:rPr>
              <w:t>Qualification</w:t>
            </w:r>
          </w:p>
        </w:tc>
        <w:tc>
          <w:tcPr>
            <w:tcW w:w="1276" w:type="dxa"/>
            <w:tcBorders>
              <w:top w:val="single" w:sz="4" w:space="0" w:color="auto"/>
              <w:left w:val="single" w:sz="4" w:space="0" w:color="auto"/>
            </w:tcBorders>
            <w:shd w:val="clear" w:color="auto" w:fill="E2EFD9"/>
            <w:vAlign w:val="center"/>
          </w:tcPr>
          <w:p w:rsidR="00824208" w:rsidRDefault="00824208" w:rsidP="00560D89">
            <w:pPr>
              <w:snapToGrid w:val="0"/>
              <w:jc w:val="center"/>
              <w:rPr>
                <w:rFonts w:cs="MingLiU"/>
                <w:sz w:val="13"/>
                <w:szCs w:val="13"/>
              </w:rPr>
            </w:pPr>
            <w:r>
              <w:rPr>
                <w:color w:val="000000"/>
                <w:sz w:val="13"/>
                <w:szCs w:val="13"/>
              </w:rPr>
              <w:t>26</w:t>
            </w:r>
          </w:p>
        </w:tc>
        <w:tc>
          <w:tcPr>
            <w:tcW w:w="1417" w:type="dxa"/>
            <w:tcBorders>
              <w:top w:val="single" w:sz="4" w:space="0" w:color="auto"/>
              <w:left w:val="single" w:sz="4" w:space="0" w:color="auto"/>
            </w:tcBorders>
            <w:shd w:val="clear" w:color="auto" w:fill="E2EFD9"/>
            <w:vAlign w:val="center"/>
          </w:tcPr>
          <w:p w:rsidR="00824208" w:rsidRDefault="00824208" w:rsidP="00560D89">
            <w:pPr>
              <w:snapToGrid w:val="0"/>
              <w:jc w:val="center"/>
              <w:rPr>
                <w:rFonts w:cs="MingLiU"/>
                <w:sz w:val="13"/>
                <w:szCs w:val="13"/>
              </w:rPr>
            </w:pPr>
            <w:r>
              <w:rPr>
                <w:color w:val="000000"/>
                <w:sz w:val="13"/>
                <w:szCs w:val="13"/>
              </w:rPr>
              <w:t>27</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
                <w:b/>
                <w:color w:val="000000"/>
                <w:sz w:val="13"/>
                <w:szCs w:val="13"/>
                <w:lang w:val="zh-CN" w:bidi="zh-CN"/>
              </w:rPr>
            </w:pPr>
          </w:p>
        </w:tc>
        <w:tc>
          <w:tcPr>
            <w:tcW w:w="1236" w:type="dxa"/>
            <w:tcBorders>
              <w:top w:val="single" w:sz="4" w:space="0" w:color="auto"/>
              <w:left w:val="single" w:sz="4" w:space="0" w:color="auto"/>
              <w:right w:val="single" w:sz="4" w:space="0" w:color="auto"/>
            </w:tcBorders>
            <w:shd w:val="clear" w:color="auto" w:fill="E2EFD9"/>
            <w:vAlign w:val="center"/>
          </w:tcPr>
          <w:p w:rsidR="00824208" w:rsidRDefault="00824208" w:rsidP="00560D89">
            <w:pPr>
              <w:snapToGrid w:val="0"/>
              <w:jc w:val="center"/>
              <w:rPr>
                <w:rFonts w:cs="MingLiU"/>
                <w:b/>
                <w:sz w:val="13"/>
                <w:szCs w:val="13"/>
              </w:rPr>
            </w:pPr>
            <w:r>
              <w:rPr>
                <w:b/>
                <w:color w:val="000000"/>
                <w:sz w:val="13"/>
                <w:szCs w:val="13"/>
              </w:rPr>
              <w:t>Qualification</w:t>
            </w:r>
          </w:p>
        </w:tc>
        <w:tc>
          <w:tcPr>
            <w:tcW w:w="749" w:type="dxa"/>
            <w:tcBorders>
              <w:top w:val="single" w:sz="4" w:space="0" w:color="auto"/>
              <w:left w:val="single" w:sz="4" w:space="0" w:color="auto"/>
              <w:right w:val="single" w:sz="4" w:space="0" w:color="auto"/>
            </w:tcBorders>
            <w:shd w:val="clear" w:color="auto" w:fill="E2EFD9"/>
            <w:vAlign w:val="center"/>
          </w:tcPr>
          <w:p w:rsidR="00824208" w:rsidRDefault="00824208" w:rsidP="00560D89">
            <w:pPr>
              <w:snapToGrid w:val="0"/>
              <w:jc w:val="center"/>
              <w:rPr>
                <w:rFonts w:cs="MingLiU"/>
                <w:sz w:val="13"/>
                <w:szCs w:val="13"/>
              </w:rPr>
            </w:pPr>
            <w:r>
              <w:rPr>
                <w:color w:val="000000"/>
                <w:sz w:val="13"/>
                <w:szCs w:val="13"/>
              </w:rPr>
              <w:t>26</w:t>
            </w:r>
          </w:p>
        </w:tc>
        <w:tc>
          <w:tcPr>
            <w:tcW w:w="1417" w:type="dxa"/>
            <w:tcBorders>
              <w:top w:val="single" w:sz="4" w:space="0" w:color="auto"/>
              <w:left w:val="single" w:sz="4" w:space="0" w:color="auto"/>
              <w:right w:val="single" w:sz="4" w:space="0" w:color="auto"/>
            </w:tcBorders>
            <w:shd w:val="clear" w:color="auto" w:fill="E2EFD9"/>
            <w:vAlign w:val="center"/>
          </w:tcPr>
          <w:p w:rsidR="00824208" w:rsidRDefault="00824208" w:rsidP="00560D89">
            <w:pPr>
              <w:snapToGrid w:val="0"/>
              <w:jc w:val="center"/>
              <w:rPr>
                <w:rFonts w:cs="MingLiU"/>
                <w:sz w:val="13"/>
                <w:szCs w:val="13"/>
              </w:rPr>
            </w:pPr>
            <w:r>
              <w:rPr>
                <w:color w:val="000000"/>
                <w:sz w:val="13"/>
                <w:szCs w:val="13"/>
              </w:rPr>
              <w:t>27</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r>
      <w:tr w:rsidR="00824208" w:rsidTr="00560D89">
        <w:trPr>
          <w:jc w:val="center"/>
        </w:trPr>
        <w:tc>
          <w:tcPr>
            <w:tcW w:w="1271" w:type="dxa"/>
            <w:tcBorders>
              <w:top w:val="single" w:sz="4" w:space="0" w:color="auto"/>
              <w:left w:val="single" w:sz="4" w:space="0" w:color="auto"/>
            </w:tcBorders>
            <w:shd w:val="clear" w:color="auto" w:fill="E2EFD9"/>
            <w:vAlign w:val="center"/>
          </w:tcPr>
          <w:p w:rsidR="00824208" w:rsidRPr="00C05F70" w:rsidRDefault="00824208" w:rsidP="00560D89">
            <w:pPr>
              <w:snapToGrid w:val="0"/>
              <w:jc w:val="center"/>
              <w:rPr>
                <w:rFonts w:cs="MingLiU"/>
                <w:b/>
                <w:bCs/>
                <w:sz w:val="13"/>
                <w:szCs w:val="13"/>
              </w:rPr>
            </w:pPr>
            <w:r w:rsidRPr="00C05F70">
              <w:rPr>
                <w:b/>
                <w:bCs/>
                <w:color w:val="000000"/>
                <w:sz w:val="13"/>
                <w:szCs w:val="13"/>
              </w:rPr>
              <w:t>Basic life</w:t>
            </w:r>
          </w:p>
        </w:tc>
        <w:tc>
          <w:tcPr>
            <w:tcW w:w="1276" w:type="dxa"/>
            <w:tcBorders>
              <w:top w:val="single" w:sz="4" w:space="0" w:color="auto"/>
              <w:left w:val="single" w:sz="4" w:space="0" w:color="auto"/>
            </w:tcBorders>
            <w:shd w:val="clear" w:color="auto" w:fill="E2EFD9"/>
            <w:vAlign w:val="center"/>
          </w:tcPr>
          <w:p w:rsidR="00824208" w:rsidRDefault="00824208" w:rsidP="00560D89">
            <w:pPr>
              <w:snapToGrid w:val="0"/>
              <w:jc w:val="center"/>
              <w:rPr>
                <w:rFonts w:cs="MingLiU"/>
                <w:sz w:val="13"/>
                <w:szCs w:val="13"/>
              </w:rPr>
            </w:pPr>
            <w:r>
              <w:rPr>
                <w:color w:val="000000"/>
                <w:sz w:val="13"/>
                <w:szCs w:val="13"/>
              </w:rPr>
              <w:t>1170</w:t>
            </w:r>
          </w:p>
        </w:tc>
        <w:tc>
          <w:tcPr>
            <w:tcW w:w="1417" w:type="dxa"/>
            <w:tcBorders>
              <w:top w:val="single" w:sz="4" w:space="0" w:color="auto"/>
              <w:left w:val="single" w:sz="4" w:space="0" w:color="auto"/>
            </w:tcBorders>
            <w:shd w:val="clear" w:color="auto" w:fill="E2EFD9"/>
            <w:vAlign w:val="center"/>
          </w:tcPr>
          <w:p w:rsidR="00824208" w:rsidRDefault="00824208" w:rsidP="00560D89">
            <w:pPr>
              <w:snapToGrid w:val="0"/>
              <w:jc w:val="center"/>
              <w:rPr>
                <w:rFonts w:cs="MingLiU"/>
                <w:sz w:val="13"/>
                <w:szCs w:val="13"/>
              </w:rPr>
            </w:pPr>
            <w:r>
              <w:rPr>
                <w:color w:val="000000"/>
                <w:sz w:val="13"/>
                <w:szCs w:val="13"/>
              </w:rPr>
              <w:t>1746</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1.5-fold fine tuning</w:t>
            </w: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
                <w:b/>
                <w:color w:val="000000"/>
                <w:sz w:val="13"/>
                <w:szCs w:val="13"/>
                <w:lang w:val="zh-CN" w:bidi="zh-CN"/>
              </w:rPr>
            </w:pPr>
          </w:p>
        </w:tc>
        <w:tc>
          <w:tcPr>
            <w:tcW w:w="1236" w:type="dxa"/>
            <w:tcBorders>
              <w:top w:val="single" w:sz="4" w:space="0" w:color="auto"/>
              <w:left w:val="single" w:sz="4" w:space="0" w:color="auto"/>
              <w:right w:val="single" w:sz="4" w:space="0" w:color="auto"/>
            </w:tcBorders>
            <w:shd w:val="clear" w:color="auto" w:fill="E2EFD9"/>
            <w:vAlign w:val="center"/>
          </w:tcPr>
          <w:p w:rsidR="00824208" w:rsidRDefault="00824208" w:rsidP="00560D89">
            <w:pPr>
              <w:snapToGrid w:val="0"/>
              <w:jc w:val="center"/>
              <w:rPr>
                <w:rFonts w:cs="MingLiU"/>
                <w:b/>
                <w:sz w:val="13"/>
                <w:szCs w:val="13"/>
              </w:rPr>
            </w:pPr>
            <w:r>
              <w:rPr>
                <w:b/>
                <w:color w:val="000000"/>
                <w:sz w:val="13"/>
                <w:szCs w:val="13"/>
              </w:rPr>
              <w:t>Basic life</w:t>
            </w:r>
          </w:p>
        </w:tc>
        <w:tc>
          <w:tcPr>
            <w:tcW w:w="749" w:type="dxa"/>
            <w:tcBorders>
              <w:top w:val="single" w:sz="4" w:space="0" w:color="auto"/>
              <w:left w:val="single" w:sz="4" w:space="0" w:color="auto"/>
              <w:right w:val="single" w:sz="4" w:space="0" w:color="auto"/>
            </w:tcBorders>
            <w:shd w:val="clear" w:color="auto" w:fill="E2EFD9"/>
            <w:vAlign w:val="center"/>
          </w:tcPr>
          <w:p w:rsidR="00824208" w:rsidRDefault="00824208" w:rsidP="00560D89">
            <w:pPr>
              <w:snapToGrid w:val="0"/>
              <w:jc w:val="center"/>
              <w:rPr>
                <w:rFonts w:cs="MingLiU"/>
                <w:sz w:val="13"/>
                <w:szCs w:val="13"/>
              </w:rPr>
            </w:pPr>
            <w:r>
              <w:rPr>
                <w:color w:val="000000"/>
                <w:sz w:val="13"/>
                <w:szCs w:val="13"/>
              </w:rPr>
              <w:t>870</w:t>
            </w:r>
          </w:p>
        </w:tc>
        <w:tc>
          <w:tcPr>
            <w:tcW w:w="1417" w:type="dxa"/>
            <w:tcBorders>
              <w:top w:val="single" w:sz="4" w:space="0" w:color="auto"/>
              <w:left w:val="single" w:sz="4" w:space="0" w:color="auto"/>
              <w:right w:val="single" w:sz="4" w:space="0" w:color="auto"/>
            </w:tcBorders>
            <w:shd w:val="clear" w:color="auto" w:fill="E2EFD9"/>
            <w:vAlign w:val="center"/>
          </w:tcPr>
          <w:p w:rsidR="00824208" w:rsidRDefault="00824208" w:rsidP="00560D89">
            <w:pPr>
              <w:snapToGrid w:val="0"/>
              <w:jc w:val="center"/>
              <w:rPr>
                <w:rFonts w:cs="MingLiU"/>
                <w:sz w:val="13"/>
                <w:szCs w:val="13"/>
              </w:rPr>
            </w:pPr>
            <w:r>
              <w:rPr>
                <w:color w:val="000000"/>
                <w:sz w:val="13"/>
                <w:szCs w:val="13"/>
              </w:rPr>
              <w:t>1299</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1.5-fold fine tuning</w:t>
            </w:r>
          </w:p>
        </w:tc>
      </w:tr>
      <w:tr w:rsidR="00824208" w:rsidTr="00560D89">
        <w:trPr>
          <w:jc w:val="center"/>
        </w:trPr>
        <w:tc>
          <w:tcPr>
            <w:tcW w:w="1271" w:type="dxa"/>
            <w:tcBorders>
              <w:top w:val="single" w:sz="4" w:space="0" w:color="auto"/>
              <w:left w:val="single" w:sz="4" w:space="0" w:color="auto"/>
            </w:tcBorders>
            <w:shd w:val="clear" w:color="auto" w:fill="E2EFD9"/>
            <w:vAlign w:val="center"/>
          </w:tcPr>
          <w:p w:rsidR="00824208" w:rsidRPr="00C05F70" w:rsidRDefault="00824208" w:rsidP="00560D89">
            <w:pPr>
              <w:snapToGrid w:val="0"/>
              <w:jc w:val="center"/>
              <w:rPr>
                <w:rFonts w:cs="MingLiU"/>
                <w:b/>
                <w:bCs/>
                <w:sz w:val="13"/>
                <w:szCs w:val="13"/>
              </w:rPr>
            </w:pPr>
            <w:r w:rsidRPr="00C05F70">
              <w:rPr>
                <w:b/>
                <w:bCs/>
                <w:color w:val="000000"/>
                <w:sz w:val="13"/>
                <w:szCs w:val="13"/>
              </w:rPr>
              <w:t>Basic attack</w:t>
            </w:r>
          </w:p>
        </w:tc>
        <w:tc>
          <w:tcPr>
            <w:tcW w:w="1276" w:type="dxa"/>
            <w:tcBorders>
              <w:top w:val="single" w:sz="4" w:space="0" w:color="auto"/>
              <w:left w:val="single" w:sz="4" w:space="0" w:color="auto"/>
            </w:tcBorders>
            <w:shd w:val="clear" w:color="auto" w:fill="E2EFD9"/>
            <w:vAlign w:val="center"/>
          </w:tcPr>
          <w:p w:rsidR="00824208" w:rsidRDefault="00824208" w:rsidP="00560D89">
            <w:pPr>
              <w:snapToGrid w:val="0"/>
              <w:jc w:val="center"/>
              <w:rPr>
                <w:rFonts w:cs="MingLiU"/>
                <w:sz w:val="13"/>
                <w:szCs w:val="13"/>
              </w:rPr>
            </w:pPr>
            <w:r>
              <w:rPr>
                <w:color w:val="000000"/>
                <w:sz w:val="13"/>
                <w:szCs w:val="13"/>
              </w:rPr>
              <w:t>33</w:t>
            </w:r>
          </w:p>
        </w:tc>
        <w:tc>
          <w:tcPr>
            <w:tcW w:w="1417" w:type="dxa"/>
            <w:tcBorders>
              <w:top w:val="single" w:sz="4" w:space="0" w:color="auto"/>
              <w:left w:val="single" w:sz="4" w:space="0" w:color="auto"/>
            </w:tcBorders>
            <w:shd w:val="clear" w:color="auto" w:fill="E2EFD9"/>
            <w:vAlign w:val="center"/>
          </w:tcPr>
          <w:p w:rsidR="00824208" w:rsidRDefault="00824208" w:rsidP="00560D89">
            <w:pPr>
              <w:snapToGrid w:val="0"/>
              <w:jc w:val="center"/>
              <w:rPr>
                <w:rFonts w:cs="MingLiU"/>
                <w:sz w:val="13"/>
                <w:szCs w:val="13"/>
              </w:rPr>
            </w:pPr>
            <w:r>
              <w:rPr>
                <w:color w:val="000000"/>
                <w:sz w:val="13"/>
                <w:szCs w:val="13"/>
              </w:rPr>
              <w:t>52</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1.5-fold fine tuning</w:t>
            </w: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
                <w:b/>
                <w:color w:val="000000"/>
                <w:sz w:val="13"/>
                <w:szCs w:val="13"/>
                <w:lang w:val="zh-CN" w:bidi="zh-CN"/>
              </w:rPr>
            </w:pPr>
          </w:p>
        </w:tc>
        <w:tc>
          <w:tcPr>
            <w:tcW w:w="1236" w:type="dxa"/>
            <w:tcBorders>
              <w:top w:val="single" w:sz="4" w:space="0" w:color="auto"/>
              <w:left w:val="single" w:sz="4" w:space="0" w:color="auto"/>
              <w:right w:val="single" w:sz="4" w:space="0" w:color="auto"/>
            </w:tcBorders>
            <w:shd w:val="clear" w:color="auto" w:fill="E2EFD9"/>
            <w:vAlign w:val="center"/>
          </w:tcPr>
          <w:p w:rsidR="00824208" w:rsidRDefault="00824208" w:rsidP="00560D89">
            <w:pPr>
              <w:snapToGrid w:val="0"/>
              <w:jc w:val="center"/>
              <w:rPr>
                <w:rFonts w:cs="MingLiU"/>
                <w:b/>
                <w:sz w:val="13"/>
                <w:szCs w:val="13"/>
              </w:rPr>
            </w:pPr>
            <w:r>
              <w:rPr>
                <w:b/>
                <w:color w:val="000000"/>
                <w:sz w:val="13"/>
                <w:szCs w:val="13"/>
              </w:rPr>
              <w:t>Basic attack</w:t>
            </w:r>
          </w:p>
        </w:tc>
        <w:tc>
          <w:tcPr>
            <w:tcW w:w="749" w:type="dxa"/>
            <w:tcBorders>
              <w:top w:val="single" w:sz="4" w:space="0" w:color="auto"/>
              <w:left w:val="single" w:sz="4" w:space="0" w:color="auto"/>
              <w:right w:val="single" w:sz="4" w:space="0" w:color="auto"/>
            </w:tcBorders>
            <w:shd w:val="clear" w:color="auto" w:fill="E2EFD9"/>
            <w:vAlign w:val="center"/>
          </w:tcPr>
          <w:p w:rsidR="00824208" w:rsidRDefault="00824208" w:rsidP="00560D89">
            <w:pPr>
              <w:snapToGrid w:val="0"/>
              <w:jc w:val="center"/>
              <w:rPr>
                <w:rFonts w:cs="MingLiU"/>
                <w:sz w:val="13"/>
                <w:szCs w:val="13"/>
              </w:rPr>
            </w:pPr>
            <w:r>
              <w:rPr>
                <w:color w:val="000000"/>
                <w:sz w:val="13"/>
                <w:szCs w:val="13"/>
              </w:rPr>
              <w:t>63</w:t>
            </w:r>
          </w:p>
        </w:tc>
        <w:tc>
          <w:tcPr>
            <w:tcW w:w="1417" w:type="dxa"/>
            <w:tcBorders>
              <w:top w:val="single" w:sz="4" w:space="0" w:color="auto"/>
              <w:left w:val="single" w:sz="4" w:space="0" w:color="auto"/>
              <w:right w:val="single" w:sz="4" w:space="0" w:color="auto"/>
            </w:tcBorders>
            <w:shd w:val="clear" w:color="auto" w:fill="E2EFD9"/>
            <w:vAlign w:val="center"/>
          </w:tcPr>
          <w:p w:rsidR="00824208" w:rsidRDefault="00824208" w:rsidP="00560D89">
            <w:pPr>
              <w:snapToGrid w:val="0"/>
              <w:jc w:val="center"/>
              <w:rPr>
                <w:rFonts w:cs="MingLiU"/>
                <w:sz w:val="13"/>
                <w:szCs w:val="13"/>
              </w:rPr>
            </w:pPr>
            <w:r>
              <w:rPr>
                <w:color w:val="000000"/>
                <w:sz w:val="13"/>
                <w:szCs w:val="13"/>
              </w:rPr>
              <w:t>95</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1.5-fold fine tuning</w:t>
            </w:r>
          </w:p>
        </w:tc>
      </w:tr>
      <w:tr w:rsidR="00824208" w:rsidTr="00560D89">
        <w:trPr>
          <w:jc w:val="center"/>
        </w:trPr>
        <w:tc>
          <w:tcPr>
            <w:tcW w:w="1271" w:type="dxa"/>
            <w:vMerge w:val="restart"/>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5/4 level enhanced attribute</w:t>
            </w:r>
          </w:p>
        </w:tc>
        <w:tc>
          <w:tcPr>
            <w:tcW w:w="1276" w:type="dxa"/>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Life</w:t>
            </w:r>
          </w:p>
        </w:tc>
        <w:tc>
          <w:tcPr>
            <w:tcW w:w="1417" w:type="dxa"/>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Life</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Palatino Linotype"/>
                <w:color w:val="000000"/>
                <w:sz w:val="13"/>
                <w:szCs w:val="13"/>
                <w:lang w:val="zh-CN" w:bidi="zh-CN"/>
              </w:rPr>
            </w:pPr>
          </w:p>
        </w:tc>
        <w:tc>
          <w:tcPr>
            <w:tcW w:w="1236" w:type="dxa"/>
            <w:vMerge w:val="restart"/>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5/4 level enhanced attribute</w:t>
            </w:r>
          </w:p>
        </w:tc>
        <w:tc>
          <w:tcPr>
            <w:tcW w:w="749" w:type="dxa"/>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Life</w:t>
            </w:r>
          </w:p>
        </w:tc>
        <w:tc>
          <w:tcPr>
            <w:tcW w:w="1417" w:type="dxa"/>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Life</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r>
      <w:tr w:rsidR="00824208" w:rsidTr="00560D89">
        <w:trPr>
          <w:jc w:val="center"/>
        </w:trPr>
        <w:tc>
          <w:tcPr>
            <w:tcW w:w="1271" w:type="dxa"/>
            <w:vMerge/>
            <w:tcBorders>
              <w:left w:val="single" w:sz="4" w:space="0" w:color="auto"/>
            </w:tcBorders>
            <w:shd w:val="clear" w:color="auto" w:fill="DBE5F1"/>
            <w:vAlign w:val="center"/>
          </w:tcPr>
          <w:p w:rsidR="00824208" w:rsidRDefault="00824208" w:rsidP="00560D89">
            <w:pPr>
              <w:snapToGrid w:val="0"/>
              <w:jc w:val="center"/>
              <w:rPr>
                <w:rFonts w:cs="MingLiU_HKSCS"/>
                <w:color w:val="000000"/>
                <w:kern w:val="0"/>
                <w:sz w:val="13"/>
                <w:szCs w:val="13"/>
                <w:lang w:eastAsia="en-US" w:bidi="en-US"/>
              </w:rPr>
            </w:pPr>
          </w:p>
        </w:tc>
        <w:tc>
          <w:tcPr>
            <w:tcW w:w="1276" w:type="dxa"/>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200</w:t>
            </w:r>
          </w:p>
        </w:tc>
        <w:tc>
          <w:tcPr>
            <w:tcW w:w="1417" w:type="dxa"/>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297</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1.5-fold fine tuning</w:t>
            </w: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_HKSCS"/>
                <w:color w:val="000000"/>
                <w:kern w:val="0"/>
                <w:sz w:val="13"/>
                <w:szCs w:val="13"/>
                <w:lang w:eastAsia="en-US" w:bidi="en-US"/>
              </w:rPr>
            </w:pPr>
          </w:p>
        </w:tc>
        <w:tc>
          <w:tcPr>
            <w:tcW w:w="1236" w:type="dxa"/>
            <w:vMerge/>
            <w:tcBorders>
              <w:left w:val="single" w:sz="4" w:space="0" w:color="auto"/>
              <w:right w:val="single" w:sz="4" w:space="0" w:color="auto"/>
            </w:tcBorders>
            <w:shd w:val="clear" w:color="auto" w:fill="D9E2F3"/>
            <w:vAlign w:val="center"/>
          </w:tcPr>
          <w:p w:rsidR="00824208" w:rsidRDefault="00824208" w:rsidP="00560D89">
            <w:pPr>
              <w:snapToGrid w:val="0"/>
              <w:jc w:val="center"/>
              <w:rPr>
                <w:rFonts w:cs="MingLiU_HKSCS"/>
                <w:color w:val="000000"/>
                <w:kern w:val="0"/>
                <w:sz w:val="13"/>
                <w:szCs w:val="13"/>
                <w:lang w:eastAsia="en-US" w:bidi="en-US"/>
              </w:rPr>
            </w:pPr>
          </w:p>
        </w:tc>
        <w:tc>
          <w:tcPr>
            <w:tcW w:w="749" w:type="dxa"/>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200</w:t>
            </w:r>
          </w:p>
        </w:tc>
        <w:tc>
          <w:tcPr>
            <w:tcW w:w="1417" w:type="dxa"/>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300</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1.5-fold fine tuning</w:t>
            </w:r>
          </w:p>
        </w:tc>
      </w:tr>
      <w:tr w:rsidR="00824208" w:rsidTr="00560D89">
        <w:trPr>
          <w:jc w:val="center"/>
        </w:trPr>
        <w:tc>
          <w:tcPr>
            <w:tcW w:w="1271" w:type="dxa"/>
            <w:vMerge w:val="restart"/>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25/24 level enhanced attribute</w:t>
            </w:r>
          </w:p>
        </w:tc>
        <w:tc>
          <w:tcPr>
            <w:tcW w:w="1276" w:type="dxa"/>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Life</w:t>
            </w:r>
          </w:p>
        </w:tc>
        <w:tc>
          <w:tcPr>
            <w:tcW w:w="1417" w:type="dxa"/>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Life</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Palatino Linotype"/>
                <w:color w:val="000000"/>
                <w:sz w:val="13"/>
                <w:szCs w:val="13"/>
                <w:lang w:val="zh-CN" w:bidi="zh-CN"/>
              </w:rPr>
            </w:pPr>
          </w:p>
        </w:tc>
        <w:tc>
          <w:tcPr>
            <w:tcW w:w="1236" w:type="dxa"/>
            <w:vMerge w:val="restart"/>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25/24 level enhanced attribute</w:t>
            </w:r>
          </w:p>
        </w:tc>
        <w:tc>
          <w:tcPr>
            <w:tcW w:w="749" w:type="dxa"/>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Life</w:t>
            </w:r>
          </w:p>
        </w:tc>
        <w:tc>
          <w:tcPr>
            <w:tcW w:w="1417" w:type="dxa"/>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Life</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r>
      <w:tr w:rsidR="00824208" w:rsidTr="00560D89">
        <w:trPr>
          <w:jc w:val="center"/>
        </w:trPr>
        <w:tc>
          <w:tcPr>
            <w:tcW w:w="1271" w:type="dxa"/>
            <w:vMerge/>
            <w:tcBorders>
              <w:left w:val="single" w:sz="4" w:space="0" w:color="auto"/>
            </w:tcBorders>
            <w:shd w:val="clear" w:color="auto" w:fill="DBE5F1"/>
            <w:vAlign w:val="center"/>
          </w:tcPr>
          <w:p w:rsidR="00824208" w:rsidRDefault="00824208" w:rsidP="00560D89">
            <w:pPr>
              <w:snapToGrid w:val="0"/>
              <w:jc w:val="center"/>
              <w:rPr>
                <w:rFonts w:cs="MingLiU_HKSCS"/>
                <w:color w:val="000000"/>
                <w:kern w:val="0"/>
                <w:sz w:val="13"/>
                <w:szCs w:val="13"/>
                <w:lang w:eastAsia="en-US" w:bidi="en-US"/>
              </w:rPr>
            </w:pPr>
          </w:p>
        </w:tc>
        <w:tc>
          <w:tcPr>
            <w:tcW w:w="1276" w:type="dxa"/>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1000</w:t>
            </w:r>
          </w:p>
        </w:tc>
        <w:tc>
          <w:tcPr>
            <w:tcW w:w="1417" w:type="dxa"/>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1532</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1.5-fold fine tuning</w:t>
            </w: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_HKSCS"/>
                <w:color w:val="000000"/>
                <w:kern w:val="0"/>
                <w:sz w:val="13"/>
                <w:szCs w:val="13"/>
                <w:lang w:eastAsia="en-US" w:bidi="en-US"/>
              </w:rPr>
            </w:pPr>
          </w:p>
        </w:tc>
        <w:tc>
          <w:tcPr>
            <w:tcW w:w="1236" w:type="dxa"/>
            <w:vMerge/>
            <w:tcBorders>
              <w:left w:val="single" w:sz="4" w:space="0" w:color="auto"/>
              <w:right w:val="single" w:sz="4" w:space="0" w:color="auto"/>
            </w:tcBorders>
            <w:shd w:val="clear" w:color="auto" w:fill="D9E2F3"/>
            <w:vAlign w:val="center"/>
          </w:tcPr>
          <w:p w:rsidR="00824208" w:rsidRDefault="00824208" w:rsidP="00560D89">
            <w:pPr>
              <w:snapToGrid w:val="0"/>
              <w:jc w:val="center"/>
              <w:rPr>
                <w:rFonts w:cs="MingLiU_HKSCS"/>
                <w:color w:val="000000"/>
                <w:kern w:val="0"/>
                <w:sz w:val="13"/>
                <w:szCs w:val="13"/>
                <w:lang w:eastAsia="en-US" w:bidi="en-US"/>
              </w:rPr>
            </w:pPr>
          </w:p>
        </w:tc>
        <w:tc>
          <w:tcPr>
            <w:tcW w:w="749" w:type="dxa"/>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1000</w:t>
            </w:r>
          </w:p>
        </w:tc>
        <w:tc>
          <w:tcPr>
            <w:tcW w:w="1417" w:type="dxa"/>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1463</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1.5-fold fine tuning</w:t>
            </w:r>
          </w:p>
        </w:tc>
      </w:tr>
      <w:tr w:rsidR="00824208" w:rsidTr="00560D89">
        <w:trPr>
          <w:jc w:val="center"/>
        </w:trPr>
        <w:tc>
          <w:tcPr>
            <w:tcW w:w="1271" w:type="dxa"/>
            <w:vMerge w:val="restart"/>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45/44 level enhanced attribute</w:t>
            </w:r>
          </w:p>
        </w:tc>
        <w:tc>
          <w:tcPr>
            <w:tcW w:w="1276" w:type="dxa"/>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Life</w:t>
            </w:r>
          </w:p>
        </w:tc>
        <w:tc>
          <w:tcPr>
            <w:tcW w:w="1417" w:type="dxa"/>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Life</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Palatino Linotype"/>
                <w:color w:val="000000"/>
                <w:sz w:val="13"/>
                <w:szCs w:val="13"/>
                <w:lang w:val="zh-CN" w:bidi="zh-CN"/>
              </w:rPr>
            </w:pPr>
          </w:p>
        </w:tc>
        <w:tc>
          <w:tcPr>
            <w:tcW w:w="1236" w:type="dxa"/>
            <w:vMerge w:val="restart"/>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45/44 level enhanced attribute</w:t>
            </w:r>
          </w:p>
        </w:tc>
        <w:tc>
          <w:tcPr>
            <w:tcW w:w="749" w:type="dxa"/>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Life</w:t>
            </w:r>
          </w:p>
        </w:tc>
        <w:tc>
          <w:tcPr>
            <w:tcW w:w="1417" w:type="dxa"/>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Life</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r>
      <w:tr w:rsidR="00824208" w:rsidTr="00560D89">
        <w:trPr>
          <w:jc w:val="center"/>
        </w:trPr>
        <w:tc>
          <w:tcPr>
            <w:tcW w:w="1271" w:type="dxa"/>
            <w:vMerge/>
            <w:tcBorders>
              <w:left w:val="single" w:sz="4" w:space="0" w:color="auto"/>
            </w:tcBorders>
            <w:shd w:val="clear" w:color="auto" w:fill="DBE5F1"/>
            <w:vAlign w:val="center"/>
          </w:tcPr>
          <w:p w:rsidR="00824208" w:rsidRDefault="00824208" w:rsidP="00560D89">
            <w:pPr>
              <w:snapToGrid w:val="0"/>
              <w:jc w:val="center"/>
              <w:rPr>
                <w:rFonts w:cs="MingLiU_HKSCS"/>
                <w:color w:val="000000"/>
                <w:kern w:val="0"/>
                <w:sz w:val="13"/>
                <w:szCs w:val="13"/>
                <w:lang w:eastAsia="en-US" w:bidi="en-US"/>
              </w:rPr>
            </w:pPr>
          </w:p>
        </w:tc>
        <w:tc>
          <w:tcPr>
            <w:tcW w:w="1276" w:type="dxa"/>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1800</w:t>
            </w:r>
          </w:p>
        </w:tc>
        <w:tc>
          <w:tcPr>
            <w:tcW w:w="1417" w:type="dxa"/>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2635</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1.5-fold fine tuning</w:t>
            </w: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_HKSCS"/>
                <w:color w:val="000000"/>
                <w:kern w:val="0"/>
                <w:sz w:val="13"/>
                <w:szCs w:val="13"/>
                <w:lang w:eastAsia="en-US" w:bidi="en-US"/>
              </w:rPr>
            </w:pPr>
          </w:p>
        </w:tc>
        <w:tc>
          <w:tcPr>
            <w:tcW w:w="1236" w:type="dxa"/>
            <w:vMerge/>
            <w:tcBorders>
              <w:left w:val="single" w:sz="4" w:space="0" w:color="auto"/>
              <w:right w:val="single" w:sz="4" w:space="0" w:color="auto"/>
            </w:tcBorders>
            <w:shd w:val="clear" w:color="auto" w:fill="D9E2F3"/>
            <w:vAlign w:val="center"/>
          </w:tcPr>
          <w:p w:rsidR="00824208" w:rsidRDefault="00824208" w:rsidP="00560D89">
            <w:pPr>
              <w:snapToGrid w:val="0"/>
              <w:jc w:val="center"/>
              <w:rPr>
                <w:rFonts w:cs="MingLiU_HKSCS"/>
                <w:color w:val="000000"/>
                <w:kern w:val="0"/>
                <w:sz w:val="13"/>
                <w:szCs w:val="13"/>
                <w:lang w:eastAsia="en-US" w:bidi="en-US"/>
              </w:rPr>
            </w:pPr>
          </w:p>
        </w:tc>
        <w:tc>
          <w:tcPr>
            <w:tcW w:w="749" w:type="dxa"/>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1300</w:t>
            </w:r>
          </w:p>
        </w:tc>
        <w:tc>
          <w:tcPr>
            <w:tcW w:w="1417" w:type="dxa"/>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2617</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1.5-fold fine tuning</w:t>
            </w:r>
          </w:p>
        </w:tc>
      </w:tr>
      <w:tr w:rsidR="00824208" w:rsidTr="00560D89">
        <w:trPr>
          <w:jc w:val="center"/>
        </w:trPr>
        <w:tc>
          <w:tcPr>
            <w:tcW w:w="1271" w:type="dxa"/>
            <w:vMerge w:val="restart"/>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65/64 level enhanced attribute</w:t>
            </w:r>
          </w:p>
        </w:tc>
        <w:tc>
          <w:tcPr>
            <w:tcW w:w="1276" w:type="dxa"/>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Life</w:t>
            </w:r>
          </w:p>
        </w:tc>
        <w:tc>
          <w:tcPr>
            <w:tcW w:w="1417" w:type="dxa"/>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Life</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Palatino Linotype"/>
                <w:color w:val="000000"/>
                <w:sz w:val="13"/>
                <w:szCs w:val="13"/>
                <w:lang w:val="zh-CN" w:bidi="zh-CN"/>
              </w:rPr>
            </w:pPr>
          </w:p>
        </w:tc>
        <w:tc>
          <w:tcPr>
            <w:tcW w:w="1236" w:type="dxa"/>
            <w:vMerge w:val="restart"/>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65/64 level enhanced attribute</w:t>
            </w:r>
          </w:p>
        </w:tc>
        <w:tc>
          <w:tcPr>
            <w:tcW w:w="749" w:type="dxa"/>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Life</w:t>
            </w:r>
          </w:p>
        </w:tc>
        <w:tc>
          <w:tcPr>
            <w:tcW w:w="1417" w:type="dxa"/>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Life</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r>
      <w:tr w:rsidR="00824208" w:rsidTr="00560D89">
        <w:trPr>
          <w:jc w:val="center"/>
        </w:trPr>
        <w:tc>
          <w:tcPr>
            <w:tcW w:w="1271" w:type="dxa"/>
            <w:vMerge/>
            <w:tcBorders>
              <w:left w:val="single" w:sz="4" w:space="0" w:color="auto"/>
            </w:tcBorders>
            <w:shd w:val="clear" w:color="auto" w:fill="DBE5F1"/>
            <w:vAlign w:val="center"/>
          </w:tcPr>
          <w:p w:rsidR="00824208" w:rsidRDefault="00824208" w:rsidP="00560D89">
            <w:pPr>
              <w:snapToGrid w:val="0"/>
              <w:jc w:val="center"/>
              <w:rPr>
                <w:rFonts w:cs="MingLiU_HKSCS"/>
                <w:color w:val="000000"/>
                <w:kern w:val="0"/>
                <w:sz w:val="13"/>
                <w:szCs w:val="13"/>
                <w:lang w:eastAsia="en-US" w:bidi="en-US"/>
              </w:rPr>
            </w:pPr>
          </w:p>
        </w:tc>
        <w:tc>
          <w:tcPr>
            <w:tcW w:w="1276" w:type="dxa"/>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2600</w:t>
            </w:r>
          </w:p>
        </w:tc>
        <w:tc>
          <w:tcPr>
            <w:tcW w:w="1417" w:type="dxa"/>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3006</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1.5-fold fine tuning</w:t>
            </w: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_HKSCS"/>
                <w:color w:val="000000"/>
                <w:kern w:val="0"/>
                <w:sz w:val="13"/>
                <w:szCs w:val="13"/>
                <w:lang w:eastAsia="en-US" w:bidi="en-US"/>
              </w:rPr>
            </w:pPr>
          </w:p>
        </w:tc>
        <w:tc>
          <w:tcPr>
            <w:tcW w:w="1236" w:type="dxa"/>
            <w:vMerge/>
            <w:tcBorders>
              <w:left w:val="single" w:sz="4" w:space="0" w:color="auto"/>
              <w:right w:val="single" w:sz="4" w:space="0" w:color="auto"/>
            </w:tcBorders>
            <w:shd w:val="clear" w:color="auto" w:fill="D9E2F3"/>
            <w:vAlign w:val="center"/>
          </w:tcPr>
          <w:p w:rsidR="00824208" w:rsidRDefault="00824208" w:rsidP="00560D89">
            <w:pPr>
              <w:snapToGrid w:val="0"/>
              <w:jc w:val="center"/>
              <w:rPr>
                <w:rFonts w:cs="MingLiU_HKSCS"/>
                <w:color w:val="000000"/>
                <w:kern w:val="0"/>
                <w:sz w:val="13"/>
                <w:szCs w:val="13"/>
                <w:lang w:eastAsia="en-US" w:bidi="en-US"/>
              </w:rPr>
            </w:pPr>
          </w:p>
        </w:tc>
        <w:tc>
          <w:tcPr>
            <w:tcW w:w="749" w:type="dxa"/>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2600</w:t>
            </w:r>
          </w:p>
        </w:tc>
        <w:tc>
          <w:tcPr>
            <w:tcW w:w="1417" w:type="dxa"/>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3996</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1.5-fold fine tuning</w:t>
            </w:r>
          </w:p>
        </w:tc>
      </w:tr>
      <w:tr w:rsidR="00824208" w:rsidTr="00560D89">
        <w:trPr>
          <w:jc w:val="center"/>
        </w:trPr>
        <w:tc>
          <w:tcPr>
            <w:tcW w:w="1271" w:type="dxa"/>
            <w:vMerge w:val="restart"/>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05/84 level enhanced attribute</w:t>
            </w:r>
          </w:p>
        </w:tc>
        <w:tc>
          <w:tcPr>
            <w:tcW w:w="1276" w:type="dxa"/>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Life</w:t>
            </w:r>
          </w:p>
        </w:tc>
        <w:tc>
          <w:tcPr>
            <w:tcW w:w="1417" w:type="dxa"/>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Life</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Palatino Linotype"/>
                <w:color w:val="000000"/>
                <w:sz w:val="13"/>
                <w:szCs w:val="13"/>
                <w:lang w:val="zh-CN" w:bidi="zh-CN"/>
              </w:rPr>
            </w:pPr>
          </w:p>
        </w:tc>
        <w:tc>
          <w:tcPr>
            <w:tcW w:w="1236" w:type="dxa"/>
            <w:vMerge w:val="restart"/>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85/84 level enhanced attribute</w:t>
            </w:r>
          </w:p>
        </w:tc>
        <w:tc>
          <w:tcPr>
            <w:tcW w:w="749" w:type="dxa"/>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Life</w:t>
            </w:r>
          </w:p>
        </w:tc>
        <w:tc>
          <w:tcPr>
            <w:tcW w:w="1417" w:type="dxa"/>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Life</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r>
      <w:tr w:rsidR="00824208" w:rsidTr="00560D89">
        <w:trPr>
          <w:jc w:val="center"/>
        </w:trPr>
        <w:tc>
          <w:tcPr>
            <w:tcW w:w="1271" w:type="dxa"/>
            <w:vMerge/>
            <w:tcBorders>
              <w:left w:val="single" w:sz="4" w:space="0" w:color="auto"/>
            </w:tcBorders>
            <w:shd w:val="clear" w:color="auto" w:fill="DBE5F1"/>
            <w:vAlign w:val="center"/>
          </w:tcPr>
          <w:p w:rsidR="00824208" w:rsidRDefault="00824208" w:rsidP="00560D89">
            <w:pPr>
              <w:snapToGrid w:val="0"/>
              <w:jc w:val="center"/>
              <w:rPr>
                <w:rFonts w:cs="MingLiU_HKSCS"/>
                <w:color w:val="000000"/>
                <w:kern w:val="0"/>
                <w:sz w:val="13"/>
                <w:szCs w:val="13"/>
                <w:lang w:eastAsia="en-US" w:bidi="en-US"/>
              </w:rPr>
            </w:pPr>
          </w:p>
        </w:tc>
        <w:tc>
          <w:tcPr>
            <w:tcW w:w="1276" w:type="dxa"/>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3400</w:t>
            </w:r>
          </w:p>
        </w:tc>
        <w:tc>
          <w:tcPr>
            <w:tcW w:w="1417" w:type="dxa"/>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5238</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1.5-fold fine tuning</w:t>
            </w: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_HKSCS"/>
                <w:color w:val="000000"/>
                <w:kern w:val="0"/>
                <w:sz w:val="13"/>
                <w:szCs w:val="13"/>
                <w:lang w:eastAsia="en-US" w:bidi="en-US"/>
              </w:rPr>
            </w:pPr>
          </w:p>
        </w:tc>
        <w:tc>
          <w:tcPr>
            <w:tcW w:w="1236" w:type="dxa"/>
            <w:vMerge/>
            <w:tcBorders>
              <w:left w:val="single" w:sz="4" w:space="0" w:color="auto"/>
              <w:right w:val="single" w:sz="4" w:space="0" w:color="auto"/>
            </w:tcBorders>
            <w:shd w:val="clear" w:color="auto" w:fill="D9E2F3"/>
            <w:vAlign w:val="center"/>
          </w:tcPr>
          <w:p w:rsidR="00824208" w:rsidRDefault="00824208" w:rsidP="00560D89">
            <w:pPr>
              <w:snapToGrid w:val="0"/>
              <w:jc w:val="center"/>
              <w:rPr>
                <w:rFonts w:cs="MingLiU_HKSCS"/>
                <w:color w:val="000000"/>
                <w:kern w:val="0"/>
                <w:sz w:val="13"/>
                <w:szCs w:val="13"/>
                <w:lang w:eastAsia="en-US" w:bidi="en-US"/>
              </w:rPr>
            </w:pPr>
          </w:p>
        </w:tc>
        <w:tc>
          <w:tcPr>
            <w:tcW w:w="749" w:type="dxa"/>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3400</w:t>
            </w:r>
          </w:p>
        </w:tc>
        <w:tc>
          <w:tcPr>
            <w:tcW w:w="1417" w:type="dxa"/>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5023</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1.5-fold fine tuning</w:t>
            </w:r>
          </w:p>
        </w:tc>
      </w:tr>
      <w:tr w:rsidR="00824208" w:rsidTr="00560D89">
        <w:trPr>
          <w:jc w:val="center"/>
        </w:trPr>
        <w:tc>
          <w:tcPr>
            <w:tcW w:w="1271" w:type="dxa"/>
            <w:vMerge w:val="restart"/>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120/119 level enhanced attribute</w:t>
            </w:r>
          </w:p>
        </w:tc>
        <w:tc>
          <w:tcPr>
            <w:tcW w:w="1276" w:type="dxa"/>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Life</w:t>
            </w:r>
          </w:p>
        </w:tc>
        <w:tc>
          <w:tcPr>
            <w:tcW w:w="1417" w:type="dxa"/>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Life</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Palatino Linotype"/>
                <w:color w:val="000000"/>
                <w:sz w:val="13"/>
                <w:szCs w:val="13"/>
                <w:lang w:val="zh-CN" w:bidi="zh-CN"/>
              </w:rPr>
            </w:pPr>
          </w:p>
        </w:tc>
        <w:tc>
          <w:tcPr>
            <w:tcW w:w="1236" w:type="dxa"/>
            <w:vMerge w:val="restart"/>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120/119 level enhanced attribute</w:t>
            </w:r>
          </w:p>
        </w:tc>
        <w:tc>
          <w:tcPr>
            <w:tcW w:w="749" w:type="dxa"/>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Life</w:t>
            </w:r>
          </w:p>
        </w:tc>
        <w:tc>
          <w:tcPr>
            <w:tcW w:w="1417" w:type="dxa"/>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Life</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r>
      <w:tr w:rsidR="00824208" w:rsidTr="00560D89">
        <w:trPr>
          <w:jc w:val="center"/>
        </w:trPr>
        <w:tc>
          <w:tcPr>
            <w:tcW w:w="1271" w:type="dxa"/>
            <w:vMerge/>
            <w:tcBorders>
              <w:left w:val="single" w:sz="4" w:space="0" w:color="auto"/>
            </w:tcBorders>
            <w:shd w:val="clear" w:color="auto" w:fill="DBE5F1"/>
            <w:vAlign w:val="center"/>
          </w:tcPr>
          <w:p w:rsidR="00824208" w:rsidRDefault="00824208" w:rsidP="00560D89">
            <w:pPr>
              <w:snapToGrid w:val="0"/>
              <w:jc w:val="center"/>
              <w:rPr>
                <w:rFonts w:cs="MingLiU_HKSCS"/>
                <w:color w:val="000000"/>
                <w:kern w:val="0"/>
                <w:sz w:val="13"/>
                <w:szCs w:val="13"/>
                <w:lang w:eastAsia="en-US" w:bidi="en-US"/>
              </w:rPr>
            </w:pPr>
          </w:p>
        </w:tc>
        <w:tc>
          <w:tcPr>
            <w:tcW w:w="1276" w:type="dxa"/>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4200</w:t>
            </w:r>
          </w:p>
        </w:tc>
        <w:tc>
          <w:tcPr>
            <w:tcW w:w="1417" w:type="dxa"/>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6308</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1.5-fold fine tuning</w:t>
            </w: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_HKSCS"/>
                <w:color w:val="000000"/>
                <w:kern w:val="0"/>
                <w:sz w:val="13"/>
                <w:szCs w:val="13"/>
                <w:lang w:eastAsia="en-US" w:bidi="en-US"/>
              </w:rPr>
            </w:pPr>
          </w:p>
        </w:tc>
        <w:tc>
          <w:tcPr>
            <w:tcW w:w="1236" w:type="dxa"/>
            <w:vMerge/>
            <w:tcBorders>
              <w:left w:val="single" w:sz="4" w:space="0" w:color="auto"/>
              <w:right w:val="single" w:sz="4" w:space="0" w:color="auto"/>
            </w:tcBorders>
            <w:shd w:val="clear" w:color="auto" w:fill="D9E2F3"/>
            <w:vAlign w:val="center"/>
          </w:tcPr>
          <w:p w:rsidR="00824208" w:rsidRDefault="00824208" w:rsidP="00560D89">
            <w:pPr>
              <w:snapToGrid w:val="0"/>
              <w:jc w:val="center"/>
              <w:rPr>
                <w:rFonts w:cs="MingLiU_HKSCS"/>
                <w:color w:val="000000"/>
                <w:kern w:val="0"/>
                <w:sz w:val="13"/>
                <w:szCs w:val="13"/>
                <w:lang w:eastAsia="en-US" w:bidi="en-US"/>
              </w:rPr>
            </w:pPr>
          </w:p>
        </w:tc>
        <w:tc>
          <w:tcPr>
            <w:tcW w:w="749" w:type="dxa"/>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4200</w:t>
            </w:r>
          </w:p>
        </w:tc>
        <w:tc>
          <w:tcPr>
            <w:tcW w:w="1417" w:type="dxa"/>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6393</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1.5-fold fine tuning</w:t>
            </w:r>
          </w:p>
        </w:tc>
      </w:tr>
      <w:tr w:rsidR="00824208" w:rsidTr="00560D89">
        <w:trPr>
          <w:jc w:val="center"/>
        </w:trPr>
        <w:tc>
          <w:tcPr>
            <w:tcW w:w="1271" w:type="dxa"/>
            <w:vMerge w:val="restart"/>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150/149 level enhanced attribute</w:t>
            </w:r>
          </w:p>
        </w:tc>
        <w:tc>
          <w:tcPr>
            <w:tcW w:w="1276" w:type="dxa"/>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Life</w:t>
            </w:r>
          </w:p>
        </w:tc>
        <w:tc>
          <w:tcPr>
            <w:tcW w:w="1417" w:type="dxa"/>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Life</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Palatino Linotype"/>
                <w:color w:val="000000"/>
                <w:sz w:val="13"/>
                <w:szCs w:val="13"/>
                <w:lang w:val="zh-CN" w:bidi="zh-CN"/>
              </w:rPr>
            </w:pPr>
          </w:p>
        </w:tc>
        <w:tc>
          <w:tcPr>
            <w:tcW w:w="1236" w:type="dxa"/>
            <w:vMerge w:val="restart"/>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150/149 level enhanced attribute</w:t>
            </w:r>
          </w:p>
        </w:tc>
        <w:tc>
          <w:tcPr>
            <w:tcW w:w="749" w:type="dxa"/>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Life</w:t>
            </w:r>
          </w:p>
        </w:tc>
        <w:tc>
          <w:tcPr>
            <w:tcW w:w="1417" w:type="dxa"/>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Life</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r>
      <w:tr w:rsidR="00824208" w:rsidTr="00560D89">
        <w:trPr>
          <w:jc w:val="center"/>
        </w:trPr>
        <w:tc>
          <w:tcPr>
            <w:tcW w:w="1271" w:type="dxa"/>
            <w:vMerge/>
            <w:tcBorders>
              <w:left w:val="single" w:sz="4" w:space="0" w:color="auto"/>
            </w:tcBorders>
            <w:shd w:val="clear" w:color="auto" w:fill="DBE5F1"/>
            <w:vAlign w:val="center"/>
          </w:tcPr>
          <w:p w:rsidR="00824208" w:rsidRDefault="00824208" w:rsidP="00560D89">
            <w:pPr>
              <w:snapToGrid w:val="0"/>
              <w:jc w:val="center"/>
              <w:rPr>
                <w:rFonts w:cs="MingLiU_HKSCS"/>
                <w:color w:val="000000"/>
                <w:kern w:val="0"/>
                <w:sz w:val="13"/>
                <w:szCs w:val="13"/>
                <w:lang w:eastAsia="en-US" w:bidi="en-US"/>
              </w:rPr>
            </w:pPr>
          </w:p>
        </w:tc>
        <w:tc>
          <w:tcPr>
            <w:tcW w:w="1276" w:type="dxa"/>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5000</w:t>
            </w:r>
          </w:p>
        </w:tc>
        <w:tc>
          <w:tcPr>
            <w:tcW w:w="1417" w:type="dxa"/>
            <w:tcBorders>
              <w:top w:val="single" w:sz="4" w:space="0" w:color="auto"/>
              <w:left w:val="single" w:sz="4" w:space="0" w:color="auto"/>
            </w:tcBorders>
            <w:shd w:val="clear" w:color="auto" w:fill="DBE5F1"/>
            <w:vAlign w:val="center"/>
          </w:tcPr>
          <w:p w:rsidR="00824208" w:rsidRDefault="00824208" w:rsidP="00560D89">
            <w:pPr>
              <w:snapToGrid w:val="0"/>
              <w:jc w:val="center"/>
              <w:rPr>
                <w:rFonts w:cs="MingLiU"/>
                <w:sz w:val="13"/>
                <w:szCs w:val="13"/>
              </w:rPr>
            </w:pPr>
            <w:r>
              <w:rPr>
                <w:color w:val="000000"/>
                <w:sz w:val="13"/>
                <w:szCs w:val="13"/>
              </w:rPr>
              <w:t>7496</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1.5-fold fine tuning</w:t>
            </w: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_HKSCS"/>
                <w:color w:val="000000"/>
                <w:kern w:val="0"/>
                <w:sz w:val="13"/>
                <w:szCs w:val="13"/>
                <w:lang w:eastAsia="en-US" w:bidi="en-US"/>
              </w:rPr>
            </w:pPr>
          </w:p>
        </w:tc>
        <w:tc>
          <w:tcPr>
            <w:tcW w:w="1236" w:type="dxa"/>
            <w:vMerge/>
            <w:tcBorders>
              <w:left w:val="single" w:sz="4" w:space="0" w:color="auto"/>
              <w:right w:val="single" w:sz="4" w:space="0" w:color="auto"/>
            </w:tcBorders>
            <w:shd w:val="clear" w:color="auto" w:fill="D9E2F3"/>
            <w:vAlign w:val="center"/>
          </w:tcPr>
          <w:p w:rsidR="00824208" w:rsidRDefault="00824208" w:rsidP="00560D89">
            <w:pPr>
              <w:snapToGrid w:val="0"/>
              <w:jc w:val="center"/>
              <w:rPr>
                <w:rFonts w:cs="MingLiU_HKSCS"/>
                <w:color w:val="000000"/>
                <w:kern w:val="0"/>
                <w:sz w:val="13"/>
                <w:szCs w:val="13"/>
                <w:lang w:eastAsia="en-US" w:bidi="en-US"/>
              </w:rPr>
            </w:pPr>
          </w:p>
        </w:tc>
        <w:tc>
          <w:tcPr>
            <w:tcW w:w="749" w:type="dxa"/>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5000</w:t>
            </w:r>
          </w:p>
        </w:tc>
        <w:tc>
          <w:tcPr>
            <w:tcW w:w="1417" w:type="dxa"/>
            <w:tcBorders>
              <w:top w:val="single" w:sz="4" w:space="0" w:color="auto"/>
              <w:left w:val="single" w:sz="4" w:space="0" w:color="auto"/>
              <w:right w:val="single" w:sz="4" w:space="0" w:color="auto"/>
            </w:tcBorders>
            <w:shd w:val="clear" w:color="auto" w:fill="D9E2F3"/>
            <w:vAlign w:val="center"/>
          </w:tcPr>
          <w:p w:rsidR="00824208" w:rsidRDefault="00824208" w:rsidP="00560D89">
            <w:pPr>
              <w:snapToGrid w:val="0"/>
              <w:jc w:val="center"/>
              <w:rPr>
                <w:rFonts w:cs="MingLiU"/>
                <w:sz w:val="13"/>
                <w:szCs w:val="13"/>
              </w:rPr>
            </w:pPr>
            <w:r>
              <w:rPr>
                <w:color w:val="000000"/>
                <w:sz w:val="13"/>
                <w:szCs w:val="13"/>
              </w:rPr>
              <w:t>7417</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1.5-fold fine tuning</w:t>
            </w:r>
          </w:p>
        </w:tc>
      </w:tr>
      <w:tr w:rsidR="00824208" w:rsidTr="00560D89">
        <w:trPr>
          <w:jc w:val="center"/>
        </w:trPr>
        <w:tc>
          <w:tcPr>
            <w:tcW w:w="1271" w:type="dxa"/>
            <w:vMerge w:val="restart"/>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Advanced 2</w:t>
            </w:r>
          </w:p>
        </w:tc>
        <w:tc>
          <w:tcPr>
            <w:tcW w:w="1276" w:type="dxa"/>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Attack</w:t>
            </w:r>
          </w:p>
        </w:tc>
        <w:tc>
          <w:tcPr>
            <w:tcW w:w="1417" w:type="dxa"/>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Attack</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c>
          <w:tcPr>
            <w:tcW w:w="142" w:type="dxa"/>
            <w:tcBorders>
              <w:left w:val="single" w:sz="4" w:space="0" w:color="auto"/>
              <w:right w:val="single" w:sz="4" w:space="0" w:color="auto"/>
            </w:tcBorders>
            <w:shd w:val="clear" w:color="auto" w:fill="auto"/>
          </w:tcPr>
          <w:p w:rsidR="00824208" w:rsidRDefault="00824208" w:rsidP="00560D89">
            <w:pPr>
              <w:tabs>
                <w:tab w:val="left" w:pos="1318"/>
              </w:tabs>
              <w:snapToGrid w:val="0"/>
              <w:jc w:val="center"/>
              <w:rPr>
                <w:rFonts w:cs="MingLiU"/>
                <w:color w:val="000000"/>
                <w:sz w:val="13"/>
                <w:szCs w:val="13"/>
                <w:lang w:val="zh-CN" w:bidi="zh-CN"/>
              </w:rPr>
            </w:pPr>
          </w:p>
        </w:tc>
        <w:tc>
          <w:tcPr>
            <w:tcW w:w="1236" w:type="dxa"/>
            <w:vMerge w:val="restart"/>
            <w:tcBorders>
              <w:top w:val="single" w:sz="4" w:space="0" w:color="auto"/>
              <w:left w:val="single" w:sz="4" w:space="0" w:color="auto"/>
              <w:right w:val="single" w:sz="4" w:space="0" w:color="auto"/>
            </w:tcBorders>
            <w:shd w:val="clear" w:color="auto" w:fill="FBE4D5"/>
            <w:vAlign w:val="center"/>
          </w:tcPr>
          <w:p w:rsidR="00824208" w:rsidRDefault="00824208" w:rsidP="00560D89">
            <w:pPr>
              <w:tabs>
                <w:tab w:val="left" w:pos="1318"/>
              </w:tabs>
              <w:snapToGrid w:val="0"/>
              <w:jc w:val="center"/>
              <w:rPr>
                <w:rFonts w:cs="MingLiU"/>
                <w:sz w:val="13"/>
                <w:szCs w:val="13"/>
              </w:rPr>
            </w:pPr>
            <w:r>
              <w:rPr>
                <w:color w:val="000000"/>
                <w:sz w:val="13"/>
                <w:szCs w:val="13"/>
              </w:rPr>
              <w:t>Advanced 2</w:t>
            </w:r>
          </w:p>
        </w:tc>
        <w:tc>
          <w:tcPr>
            <w:tcW w:w="749" w:type="dxa"/>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Attack</w:t>
            </w:r>
          </w:p>
        </w:tc>
        <w:tc>
          <w:tcPr>
            <w:tcW w:w="1417" w:type="dxa"/>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Attack</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r>
      <w:tr w:rsidR="00824208" w:rsidTr="00560D89">
        <w:trPr>
          <w:jc w:val="center"/>
        </w:trPr>
        <w:tc>
          <w:tcPr>
            <w:tcW w:w="1271" w:type="dxa"/>
            <w:vMerge/>
            <w:tcBorders>
              <w:left w:val="single" w:sz="4" w:space="0" w:color="auto"/>
            </w:tcBorders>
            <w:shd w:val="clear" w:color="auto" w:fill="FBE4D5"/>
            <w:vAlign w:val="center"/>
          </w:tcPr>
          <w:p w:rsidR="00824208" w:rsidRDefault="00824208" w:rsidP="00560D89">
            <w:pPr>
              <w:snapToGrid w:val="0"/>
              <w:jc w:val="center"/>
              <w:rPr>
                <w:rFonts w:cs="MingLiU_HKSCS"/>
                <w:color w:val="000000"/>
                <w:kern w:val="0"/>
                <w:sz w:val="13"/>
                <w:szCs w:val="13"/>
                <w:lang w:eastAsia="en-US" w:bidi="en-US"/>
              </w:rPr>
            </w:pPr>
          </w:p>
        </w:tc>
        <w:tc>
          <w:tcPr>
            <w:tcW w:w="1276" w:type="dxa"/>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60</w:t>
            </w:r>
          </w:p>
        </w:tc>
        <w:tc>
          <w:tcPr>
            <w:tcW w:w="1417" w:type="dxa"/>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08</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1.5-fold fine tuning</w:t>
            </w: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_HKSCS"/>
                <w:color w:val="000000"/>
                <w:kern w:val="0"/>
                <w:sz w:val="13"/>
                <w:szCs w:val="13"/>
                <w:lang w:eastAsia="en-US" w:bidi="en-US"/>
              </w:rPr>
            </w:pPr>
          </w:p>
        </w:tc>
        <w:tc>
          <w:tcPr>
            <w:tcW w:w="1236" w:type="dxa"/>
            <w:vMerge/>
            <w:tcBorders>
              <w:left w:val="single" w:sz="4" w:space="0" w:color="auto"/>
              <w:right w:val="single" w:sz="4" w:space="0" w:color="auto"/>
            </w:tcBorders>
            <w:shd w:val="clear" w:color="auto" w:fill="FBE4D5"/>
            <w:vAlign w:val="center"/>
          </w:tcPr>
          <w:p w:rsidR="00824208" w:rsidRDefault="00824208" w:rsidP="00560D89">
            <w:pPr>
              <w:snapToGrid w:val="0"/>
              <w:jc w:val="center"/>
              <w:rPr>
                <w:rFonts w:cs="MingLiU_HKSCS"/>
                <w:color w:val="000000"/>
                <w:kern w:val="0"/>
                <w:sz w:val="13"/>
                <w:szCs w:val="13"/>
                <w:lang w:eastAsia="en-US" w:bidi="en-US"/>
              </w:rPr>
            </w:pPr>
          </w:p>
        </w:tc>
        <w:tc>
          <w:tcPr>
            <w:tcW w:w="749" w:type="dxa"/>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60</w:t>
            </w:r>
          </w:p>
        </w:tc>
        <w:tc>
          <w:tcPr>
            <w:tcW w:w="1417" w:type="dxa"/>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92</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1.5-fold fine tuning</w:t>
            </w:r>
          </w:p>
        </w:tc>
      </w:tr>
      <w:tr w:rsidR="00824208" w:rsidTr="00560D89">
        <w:trPr>
          <w:jc w:val="center"/>
        </w:trPr>
        <w:tc>
          <w:tcPr>
            <w:tcW w:w="1271" w:type="dxa"/>
            <w:vMerge w:val="restart"/>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Advanced 3</w:t>
            </w:r>
          </w:p>
        </w:tc>
        <w:tc>
          <w:tcPr>
            <w:tcW w:w="1276" w:type="dxa"/>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Life</w:t>
            </w:r>
          </w:p>
        </w:tc>
        <w:tc>
          <w:tcPr>
            <w:tcW w:w="1417" w:type="dxa"/>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Life</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
                <w:color w:val="000000"/>
                <w:sz w:val="13"/>
                <w:szCs w:val="13"/>
                <w:lang w:val="zh-CN" w:bidi="zh-CN"/>
              </w:rPr>
            </w:pPr>
          </w:p>
        </w:tc>
        <w:tc>
          <w:tcPr>
            <w:tcW w:w="1236" w:type="dxa"/>
            <w:vMerge w:val="restart"/>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Advanced 3</w:t>
            </w:r>
          </w:p>
        </w:tc>
        <w:tc>
          <w:tcPr>
            <w:tcW w:w="749" w:type="dxa"/>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Life</w:t>
            </w:r>
          </w:p>
        </w:tc>
        <w:tc>
          <w:tcPr>
            <w:tcW w:w="1417" w:type="dxa"/>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Life</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r>
      <w:tr w:rsidR="00824208" w:rsidTr="00560D89">
        <w:trPr>
          <w:jc w:val="center"/>
        </w:trPr>
        <w:tc>
          <w:tcPr>
            <w:tcW w:w="1271" w:type="dxa"/>
            <w:vMerge/>
            <w:tcBorders>
              <w:left w:val="single" w:sz="4" w:space="0" w:color="auto"/>
            </w:tcBorders>
            <w:shd w:val="clear" w:color="auto" w:fill="FBE4D5"/>
            <w:vAlign w:val="center"/>
          </w:tcPr>
          <w:p w:rsidR="00824208" w:rsidRDefault="00824208" w:rsidP="00560D89">
            <w:pPr>
              <w:snapToGrid w:val="0"/>
              <w:jc w:val="center"/>
              <w:rPr>
                <w:rFonts w:cs="MingLiU_HKSCS"/>
                <w:color w:val="000000"/>
                <w:kern w:val="0"/>
                <w:sz w:val="13"/>
                <w:szCs w:val="13"/>
                <w:lang w:eastAsia="en-US" w:bidi="en-US"/>
              </w:rPr>
            </w:pPr>
          </w:p>
        </w:tc>
        <w:tc>
          <w:tcPr>
            <w:tcW w:w="1276" w:type="dxa"/>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3150</w:t>
            </w:r>
          </w:p>
        </w:tc>
        <w:tc>
          <w:tcPr>
            <w:tcW w:w="1417" w:type="dxa"/>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4702</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1.5-fold fine tuning</w:t>
            </w: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_HKSCS"/>
                <w:color w:val="000000"/>
                <w:kern w:val="0"/>
                <w:sz w:val="13"/>
                <w:szCs w:val="13"/>
                <w:lang w:eastAsia="en-US" w:bidi="en-US"/>
              </w:rPr>
            </w:pPr>
          </w:p>
        </w:tc>
        <w:tc>
          <w:tcPr>
            <w:tcW w:w="1236" w:type="dxa"/>
            <w:vMerge/>
            <w:tcBorders>
              <w:left w:val="single" w:sz="4" w:space="0" w:color="auto"/>
              <w:right w:val="single" w:sz="4" w:space="0" w:color="auto"/>
            </w:tcBorders>
            <w:shd w:val="clear" w:color="auto" w:fill="FBE4D5"/>
            <w:vAlign w:val="center"/>
          </w:tcPr>
          <w:p w:rsidR="00824208" w:rsidRDefault="00824208" w:rsidP="00560D89">
            <w:pPr>
              <w:snapToGrid w:val="0"/>
              <w:jc w:val="center"/>
              <w:rPr>
                <w:rFonts w:cs="MingLiU_HKSCS"/>
                <w:color w:val="000000"/>
                <w:kern w:val="0"/>
                <w:sz w:val="13"/>
                <w:szCs w:val="13"/>
                <w:lang w:eastAsia="en-US" w:bidi="en-US"/>
              </w:rPr>
            </w:pPr>
          </w:p>
        </w:tc>
        <w:tc>
          <w:tcPr>
            <w:tcW w:w="749" w:type="dxa"/>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3150</w:t>
            </w:r>
          </w:p>
        </w:tc>
        <w:tc>
          <w:tcPr>
            <w:tcW w:w="1417" w:type="dxa"/>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4027</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1.5-fold fine tuning</w:t>
            </w:r>
          </w:p>
        </w:tc>
      </w:tr>
      <w:tr w:rsidR="00824208" w:rsidTr="00560D89">
        <w:trPr>
          <w:jc w:val="center"/>
        </w:trPr>
        <w:tc>
          <w:tcPr>
            <w:tcW w:w="1271" w:type="dxa"/>
            <w:vMerge w:val="restart"/>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Advanced 4</w:t>
            </w:r>
          </w:p>
        </w:tc>
        <w:tc>
          <w:tcPr>
            <w:tcW w:w="1276" w:type="dxa"/>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Immune from heavy hit injury</w:t>
            </w:r>
          </w:p>
        </w:tc>
        <w:tc>
          <w:tcPr>
            <w:tcW w:w="1417" w:type="dxa"/>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Immune from heavy hit injury</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c>
          <w:tcPr>
            <w:tcW w:w="142" w:type="dxa"/>
            <w:tcBorders>
              <w:left w:val="single" w:sz="4" w:space="0" w:color="auto"/>
              <w:right w:val="single" w:sz="4" w:space="0" w:color="auto"/>
            </w:tcBorders>
            <w:shd w:val="clear" w:color="auto" w:fill="auto"/>
          </w:tcPr>
          <w:p w:rsidR="00824208" w:rsidRPr="00422A15" w:rsidRDefault="00824208" w:rsidP="00560D89">
            <w:pPr>
              <w:snapToGrid w:val="0"/>
              <w:jc w:val="center"/>
              <w:rPr>
                <w:rFonts w:cs="MingLiU"/>
                <w:color w:val="000000"/>
                <w:sz w:val="13"/>
                <w:szCs w:val="13"/>
                <w:lang w:bidi="zh-CN"/>
              </w:rPr>
            </w:pPr>
          </w:p>
        </w:tc>
        <w:tc>
          <w:tcPr>
            <w:tcW w:w="1236" w:type="dxa"/>
            <w:vMerge w:val="restart"/>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Advanced 4</w:t>
            </w:r>
          </w:p>
        </w:tc>
        <w:tc>
          <w:tcPr>
            <w:tcW w:w="749" w:type="dxa"/>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Immune from heavy hit injury</w:t>
            </w:r>
          </w:p>
        </w:tc>
        <w:tc>
          <w:tcPr>
            <w:tcW w:w="1417" w:type="dxa"/>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Immune from heavy hit injury</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r>
      <w:tr w:rsidR="00824208" w:rsidTr="00560D89">
        <w:trPr>
          <w:jc w:val="center"/>
        </w:trPr>
        <w:tc>
          <w:tcPr>
            <w:tcW w:w="1271" w:type="dxa"/>
            <w:vMerge/>
            <w:tcBorders>
              <w:left w:val="single" w:sz="4" w:space="0" w:color="auto"/>
            </w:tcBorders>
            <w:shd w:val="clear" w:color="auto" w:fill="FBE4D5"/>
            <w:vAlign w:val="center"/>
          </w:tcPr>
          <w:p w:rsidR="00824208" w:rsidRDefault="00824208" w:rsidP="00560D89">
            <w:pPr>
              <w:snapToGrid w:val="0"/>
              <w:jc w:val="center"/>
              <w:rPr>
                <w:rFonts w:cs="MingLiU_HKSCS"/>
                <w:color w:val="000000"/>
                <w:kern w:val="0"/>
                <w:sz w:val="13"/>
                <w:szCs w:val="13"/>
                <w:lang w:eastAsia="en-US" w:bidi="en-US"/>
              </w:rPr>
            </w:pPr>
          </w:p>
        </w:tc>
        <w:tc>
          <w:tcPr>
            <w:tcW w:w="1276" w:type="dxa"/>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7</w:t>
            </w:r>
          </w:p>
        </w:tc>
        <w:tc>
          <w:tcPr>
            <w:tcW w:w="1417" w:type="dxa"/>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7</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Consistent</w:t>
            </w: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_HKSCS"/>
                <w:color w:val="000000"/>
                <w:kern w:val="0"/>
                <w:sz w:val="13"/>
                <w:szCs w:val="13"/>
                <w:lang w:eastAsia="en-US" w:bidi="en-US"/>
              </w:rPr>
            </w:pPr>
          </w:p>
        </w:tc>
        <w:tc>
          <w:tcPr>
            <w:tcW w:w="1236" w:type="dxa"/>
            <w:vMerge/>
            <w:tcBorders>
              <w:left w:val="single" w:sz="4" w:space="0" w:color="auto"/>
              <w:right w:val="single" w:sz="4" w:space="0" w:color="auto"/>
            </w:tcBorders>
            <w:shd w:val="clear" w:color="auto" w:fill="FBE4D5"/>
            <w:vAlign w:val="center"/>
          </w:tcPr>
          <w:p w:rsidR="00824208" w:rsidRDefault="00824208" w:rsidP="00560D89">
            <w:pPr>
              <w:snapToGrid w:val="0"/>
              <w:jc w:val="center"/>
              <w:rPr>
                <w:rFonts w:cs="MingLiU_HKSCS"/>
                <w:color w:val="000000"/>
                <w:kern w:val="0"/>
                <w:sz w:val="13"/>
                <w:szCs w:val="13"/>
                <w:lang w:eastAsia="en-US" w:bidi="en-US"/>
              </w:rPr>
            </w:pPr>
          </w:p>
        </w:tc>
        <w:tc>
          <w:tcPr>
            <w:tcW w:w="749" w:type="dxa"/>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7</w:t>
            </w:r>
          </w:p>
        </w:tc>
        <w:tc>
          <w:tcPr>
            <w:tcW w:w="1417" w:type="dxa"/>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7</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Consistent</w:t>
            </w:r>
          </w:p>
        </w:tc>
      </w:tr>
      <w:tr w:rsidR="00824208" w:rsidTr="00560D89">
        <w:trPr>
          <w:jc w:val="center"/>
        </w:trPr>
        <w:tc>
          <w:tcPr>
            <w:tcW w:w="1271" w:type="dxa"/>
            <w:vMerge w:val="restart"/>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Advanced 5</w:t>
            </w:r>
          </w:p>
        </w:tc>
        <w:tc>
          <w:tcPr>
            <w:tcW w:w="1276" w:type="dxa"/>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Heavy hit injury</w:t>
            </w:r>
          </w:p>
        </w:tc>
        <w:tc>
          <w:tcPr>
            <w:tcW w:w="1417" w:type="dxa"/>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Heavy hit injury</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
                <w:color w:val="000000"/>
                <w:sz w:val="13"/>
                <w:szCs w:val="13"/>
                <w:lang w:val="zh-CN" w:bidi="zh-CN"/>
              </w:rPr>
            </w:pPr>
          </w:p>
        </w:tc>
        <w:tc>
          <w:tcPr>
            <w:tcW w:w="1236" w:type="dxa"/>
            <w:vMerge w:val="restart"/>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Advanced 5</w:t>
            </w:r>
          </w:p>
        </w:tc>
        <w:tc>
          <w:tcPr>
            <w:tcW w:w="749" w:type="dxa"/>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Upper limit of power</w:t>
            </w:r>
          </w:p>
        </w:tc>
        <w:tc>
          <w:tcPr>
            <w:tcW w:w="1417" w:type="dxa"/>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Upper limit of power</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r>
      <w:tr w:rsidR="00824208" w:rsidTr="00560D89">
        <w:trPr>
          <w:jc w:val="center"/>
        </w:trPr>
        <w:tc>
          <w:tcPr>
            <w:tcW w:w="1271" w:type="dxa"/>
            <w:vMerge/>
            <w:tcBorders>
              <w:left w:val="single" w:sz="4" w:space="0" w:color="auto"/>
            </w:tcBorders>
            <w:shd w:val="clear" w:color="auto" w:fill="FBE4D5"/>
            <w:vAlign w:val="center"/>
          </w:tcPr>
          <w:p w:rsidR="00824208" w:rsidRDefault="00824208" w:rsidP="00560D89">
            <w:pPr>
              <w:snapToGrid w:val="0"/>
              <w:jc w:val="center"/>
              <w:rPr>
                <w:rFonts w:cs="MingLiU_HKSCS"/>
                <w:color w:val="000000"/>
                <w:kern w:val="0"/>
                <w:sz w:val="13"/>
                <w:szCs w:val="13"/>
                <w:lang w:eastAsia="en-US" w:bidi="en-US"/>
              </w:rPr>
            </w:pPr>
          </w:p>
        </w:tc>
        <w:tc>
          <w:tcPr>
            <w:tcW w:w="1276" w:type="dxa"/>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15</w:t>
            </w:r>
          </w:p>
        </w:tc>
        <w:tc>
          <w:tcPr>
            <w:tcW w:w="1417" w:type="dxa"/>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15</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Consistent</w:t>
            </w: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_HKSCS"/>
                <w:color w:val="000000"/>
                <w:kern w:val="0"/>
                <w:sz w:val="13"/>
                <w:szCs w:val="13"/>
                <w:lang w:eastAsia="en-US" w:bidi="en-US"/>
              </w:rPr>
            </w:pPr>
          </w:p>
        </w:tc>
        <w:tc>
          <w:tcPr>
            <w:tcW w:w="1236" w:type="dxa"/>
            <w:vMerge/>
            <w:tcBorders>
              <w:left w:val="single" w:sz="4" w:space="0" w:color="auto"/>
              <w:right w:val="single" w:sz="4" w:space="0" w:color="auto"/>
            </w:tcBorders>
            <w:shd w:val="clear" w:color="auto" w:fill="FBE4D5"/>
            <w:vAlign w:val="center"/>
          </w:tcPr>
          <w:p w:rsidR="00824208" w:rsidRDefault="00824208" w:rsidP="00560D89">
            <w:pPr>
              <w:snapToGrid w:val="0"/>
              <w:jc w:val="center"/>
              <w:rPr>
                <w:rFonts w:cs="MingLiU_HKSCS"/>
                <w:color w:val="000000"/>
                <w:kern w:val="0"/>
                <w:sz w:val="13"/>
                <w:szCs w:val="13"/>
                <w:lang w:eastAsia="en-US" w:bidi="en-US"/>
              </w:rPr>
            </w:pPr>
          </w:p>
        </w:tc>
        <w:tc>
          <w:tcPr>
            <w:tcW w:w="749" w:type="dxa"/>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60</w:t>
            </w:r>
          </w:p>
        </w:tc>
        <w:tc>
          <w:tcPr>
            <w:tcW w:w="1417" w:type="dxa"/>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60</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Consistent</w:t>
            </w:r>
          </w:p>
        </w:tc>
      </w:tr>
      <w:tr w:rsidR="00824208" w:rsidTr="00560D89">
        <w:trPr>
          <w:jc w:val="center"/>
        </w:trPr>
        <w:tc>
          <w:tcPr>
            <w:tcW w:w="1271" w:type="dxa"/>
            <w:vMerge w:val="restart"/>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Advanced 6</w:t>
            </w:r>
          </w:p>
        </w:tc>
        <w:tc>
          <w:tcPr>
            <w:tcW w:w="1276" w:type="dxa"/>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Immune from injury</w:t>
            </w:r>
          </w:p>
        </w:tc>
        <w:tc>
          <w:tcPr>
            <w:tcW w:w="1417" w:type="dxa"/>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Immune from injury</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
                <w:color w:val="000000"/>
                <w:sz w:val="13"/>
                <w:szCs w:val="13"/>
                <w:lang w:val="zh-CN" w:bidi="zh-CN"/>
              </w:rPr>
            </w:pPr>
          </w:p>
        </w:tc>
        <w:tc>
          <w:tcPr>
            <w:tcW w:w="1236" w:type="dxa"/>
            <w:vMerge w:val="restart"/>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 xml:space="preserve">Advanced </w:t>
            </w:r>
            <w:r>
              <w:rPr>
                <w:sz w:val="13"/>
                <w:szCs w:val="13"/>
              </w:rPr>
              <w:t>6</w:t>
            </w:r>
          </w:p>
        </w:tc>
        <w:tc>
          <w:tcPr>
            <w:tcW w:w="749" w:type="dxa"/>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Dodge</w:t>
            </w:r>
          </w:p>
        </w:tc>
        <w:tc>
          <w:tcPr>
            <w:tcW w:w="1417" w:type="dxa"/>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Dodge</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r>
      <w:tr w:rsidR="00824208" w:rsidTr="00560D89">
        <w:trPr>
          <w:jc w:val="center"/>
        </w:trPr>
        <w:tc>
          <w:tcPr>
            <w:tcW w:w="1271" w:type="dxa"/>
            <w:vMerge/>
            <w:tcBorders>
              <w:left w:val="single" w:sz="4" w:space="0" w:color="auto"/>
            </w:tcBorders>
            <w:shd w:val="clear" w:color="auto" w:fill="FBE4D5"/>
            <w:vAlign w:val="center"/>
          </w:tcPr>
          <w:p w:rsidR="00824208" w:rsidRDefault="00824208" w:rsidP="00560D89">
            <w:pPr>
              <w:snapToGrid w:val="0"/>
              <w:jc w:val="center"/>
              <w:rPr>
                <w:rFonts w:cs="MingLiU_HKSCS"/>
                <w:color w:val="000000"/>
                <w:kern w:val="0"/>
                <w:sz w:val="13"/>
                <w:szCs w:val="13"/>
                <w:lang w:eastAsia="en-US" w:bidi="en-US"/>
              </w:rPr>
            </w:pPr>
          </w:p>
        </w:tc>
        <w:tc>
          <w:tcPr>
            <w:tcW w:w="1276" w:type="dxa"/>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750</w:t>
            </w:r>
          </w:p>
        </w:tc>
        <w:tc>
          <w:tcPr>
            <w:tcW w:w="1417" w:type="dxa"/>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1145</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1.5-fold fine tuning</w:t>
            </w: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_HKSCS"/>
                <w:color w:val="000000"/>
                <w:kern w:val="0"/>
                <w:sz w:val="13"/>
                <w:szCs w:val="13"/>
                <w:lang w:eastAsia="en-US" w:bidi="en-US"/>
              </w:rPr>
            </w:pPr>
          </w:p>
        </w:tc>
        <w:tc>
          <w:tcPr>
            <w:tcW w:w="1236" w:type="dxa"/>
            <w:vMerge/>
            <w:tcBorders>
              <w:left w:val="single" w:sz="4" w:space="0" w:color="auto"/>
              <w:right w:val="single" w:sz="4" w:space="0" w:color="auto"/>
            </w:tcBorders>
            <w:shd w:val="clear" w:color="auto" w:fill="FBE4D5"/>
            <w:vAlign w:val="center"/>
          </w:tcPr>
          <w:p w:rsidR="00824208" w:rsidRDefault="00824208" w:rsidP="00560D89">
            <w:pPr>
              <w:snapToGrid w:val="0"/>
              <w:jc w:val="center"/>
              <w:rPr>
                <w:rFonts w:cs="MingLiU_HKSCS"/>
                <w:color w:val="000000"/>
                <w:kern w:val="0"/>
                <w:sz w:val="13"/>
                <w:szCs w:val="13"/>
                <w:lang w:eastAsia="en-US" w:bidi="en-US"/>
              </w:rPr>
            </w:pPr>
          </w:p>
        </w:tc>
        <w:tc>
          <w:tcPr>
            <w:tcW w:w="749" w:type="dxa"/>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9</w:t>
            </w:r>
          </w:p>
        </w:tc>
        <w:tc>
          <w:tcPr>
            <w:tcW w:w="1417" w:type="dxa"/>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9</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Consistent</w:t>
            </w:r>
          </w:p>
        </w:tc>
      </w:tr>
      <w:tr w:rsidR="00824208" w:rsidTr="00560D89">
        <w:trPr>
          <w:jc w:val="center"/>
        </w:trPr>
        <w:tc>
          <w:tcPr>
            <w:tcW w:w="1271" w:type="dxa"/>
            <w:vMerge w:val="restart"/>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Advanced 7</w:t>
            </w:r>
          </w:p>
        </w:tc>
        <w:tc>
          <w:tcPr>
            <w:tcW w:w="1276" w:type="dxa"/>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Dodge</w:t>
            </w:r>
          </w:p>
        </w:tc>
        <w:tc>
          <w:tcPr>
            <w:tcW w:w="1417" w:type="dxa"/>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Dodge</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
                <w:color w:val="000000"/>
                <w:sz w:val="13"/>
                <w:szCs w:val="13"/>
                <w:lang w:val="zh-CN" w:bidi="zh-CN"/>
              </w:rPr>
            </w:pPr>
          </w:p>
        </w:tc>
        <w:tc>
          <w:tcPr>
            <w:tcW w:w="1236" w:type="dxa"/>
            <w:vMerge w:val="restart"/>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 xml:space="preserve">Advanced </w:t>
            </w:r>
            <w:r>
              <w:rPr>
                <w:sz w:val="13"/>
                <w:szCs w:val="13"/>
              </w:rPr>
              <w:t>7</w:t>
            </w:r>
          </w:p>
        </w:tc>
        <w:tc>
          <w:tcPr>
            <w:tcW w:w="749" w:type="dxa"/>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Consumption reduction 1</w:t>
            </w:r>
          </w:p>
        </w:tc>
        <w:tc>
          <w:tcPr>
            <w:tcW w:w="1417" w:type="dxa"/>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Consumption reduction 1</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r>
      <w:tr w:rsidR="00824208" w:rsidTr="00560D89">
        <w:trPr>
          <w:jc w:val="center"/>
        </w:trPr>
        <w:tc>
          <w:tcPr>
            <w:tcW w:w="1271" w:type="dxa"/>
            <w:vMerge/>
            <w:tcBorders>
              <w:left w:val="single" w:sz="4" w:space="0" w:color="auto"/>
            </w:tcBorders>
            <w:shd w:val="clear" w:color="auto" w:fill="FBE4D5"/>
            <w:vAlign w:val="center"/>
          </w:tcPr>
          <w:p w:rsidR="00824208" w:rsidRDefault="00824208" w:rsidP="00560D89">
            <w:pPr>
              <w:snapToGrid w:val="0"/>
              <w:jc w:val="center"/>
              <w:rPr>
                <w:rFonts w:cs="MingLiU_HKSCS"/>
                <w:color w:val="000000"/>
                <w:kern w:val="0"/>
                <w:sz w:val="13"/>
                <w:szCs w:val="13"/>
                <w:lang w:eastAsia="en-US" w:bidi="en-US"/>
              </w:rPr>
            </w:pPr>
          </w:p>
        </w:tc>
        <w:tc>
          <w:tcPr>
            <w:tcW w:w="1276" w:type="dxa"/>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11</w:t>
            </w:r>
          </w:p>
        </w:tc>
        <w:tc>
          <w:tcPr>
            <w:tcW w:w="1417" w:type="dxa"/>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11</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Consistent</w:t>
            </w: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_HKSCS"/>
                <w:color w:val="000000"/>
                <w:kern w:val="0"/>
                <w:sz w:val="13"/>
                <w:szCs w:val="13"/>
                <w:lang w:eastAsia="en-US" w:bidi="en-US"/>
              </w:rPr>
            </w:pPr>
          </w:p>
        </w:tc>
        <w:tc>
          <w:tcPr>
            <w:tcW w:w="1236" w:type="dxa"/>
            <w:vMerge/>
            <w:tcBorders>
              <w:left w:val="single" w:sz="4" w:space="0" w:color="auto"/>
              <w:right w:val="single" w:sz="4" w:space="0" w:color="auto"/>
            </w:tcBorders>
            <w:shd w:val="clear" w:color="auto" w:fill="FBE4D5"/>
            <w:vAlign w:val="center"/>
          </w:tcPr>
          <w:p w:rsidR="00824208" w:rsidRDefault="00824208" w:rsidP="00560D89">
            <w:pPr>
              <w:snapToGrid w:val="0"/>
              <w:jc w:val="center"/>
              <w:rPr>
                <w:rFonts w:cs="MingLiU_HKSCS"/>
                <w:color w:val="000000"/>
                <w:kern w:val="0"/>
                <w:sz w:val="13"/>
                <w:szCs w:val="13"/>
                <w:lang w:eastAsia="en-US" w:bidi="en-US"/>
              </w:rPr>
            </w:pPr>
          </w:p>
        </w:tc>
        <w:tc>
          <w:tcPr>
            <w:tcW w:w="749" w:type="dxa"/>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20</w:t>
            </w:r>
          </w:p>
        </w:tc>
        <w:tc>
          <w:tcPr>
            <w:tcW w:w="1417" w:type="dxa"/>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i/>
                <w:iCs/>
                <w:color w:val="000000"/>
                <w:sz w:val="13"/>
                <w:szCs w:val="13"/>
              </w:rPr>
              <w:t>32</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1.5-fold fine tuning</w:t>
            </w:r>
          </w:p>
        </w:tc>
      </w:tr>
      <w:tr w:rsidR="00824208" w:rsidTr="00560D89">
        <w:trPr>
          <w:jc w:val="center"/>
        </w:trPr>
        <w:tc>
          <w:tcPr>
            <w:tcW w:w="1271" w:type="dxa"/>
            <w:vMerge w:val="restart"/>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Advanced 8</w:t>
            </w:r>
          </w:p>
        </w:tc>
        <w:tc>
          <w:tcPr>
            <w:tcW w:w="1276" w:type="dxa"/>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Life</w:t>
            </w:r>
          </w:p>
        </w:tc>
        <w:tc>
          <w:tcPr>
            <w:tcW w:w="1417" w:type="dxa"/>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Life</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c>
          <w:tcPr>
            <w:tcW w:w="142" w:type="dxa"/>
            <w:tcBorders>
              <w:left w:val="single" w:sz="4" w:space="0" w:color="auto"/>
              <w:right w:val="single" w:sz="4" w:space="0" w:color="auto"/>
            </w:tcBorders>
            <w:shd w:val="clear" w:color="auto" w:fill="auto"/>
          </w:tcPr>
          <w:p w:rsidR="00824208" w:rsidRDefault="00824208" w:rsidP="00560D89">
            <w:pPr>
              <w:tabs>
                <w:tab w:val="left" w:pos="1318"/>
              </w:tabs>
              <w:snapToGrid w:val="0"/>
              <w:jc w:val="center"/>
              <w:rPr>
                <w:rFonts w:cs="MingLiU"/>
                <w:color w:val="000000"/>
                <w:sz w:val="13"/>
                <w:szCs w:val="13"/>
                <w:lang w:val="zh-CN" w:bidi="zh-CN"/>
              </w:rPr>
            </w:pPr>
          </w:p>
        </w:tc>
        <w:tc>
          <w:tcPr>
            <w:tcW w:w="1236" w:type="dxa"/>
            <w:vMerge w:val="restart"/>
            <w:tcBorders>
              <w:top w:val="single" w:sz="4" w:space="0" w:color="auto"/>
              <w:left w:val="single" w:sz="4" w:space="0" w:color="auto"/>
              <w:right w:val="single" w:sz="4" w:space="0" w:color="auto"/>
            </w:tcBorders>
            <w:shd w:val="clear" w:color="auto" w:fill="FBE4D5"/>
            <w:vAlign w:val="center"/>
          </w:tcPr>
          <w:p w:rsidR="00824208" w:rsidRDefault="00824208" w:rsidP="00560D89">
            <w:pPr>
              <w:tabs>
                <w:tab w:val="left" w:pos="1318"/>
              </w:tabs>
              <w:snapToGrid w:val="0"/>
              <w:jc w:val="center"/>
              <w:rPr>
                <w:rFonts w:cs="MingLiU"/>
                <w:sz w:val="13"/>
                <w:szCs w:val="13"/>
              </w:rPr>
            </w:pPr>
            <w:r>
              <w:rPr>
                <w:color w:val="000000"/>
                <w:sz w:val="13"/>
                <w:szCs w:val="13"/>
              </w:rPr>
              <w:t>Advanced 8</w:t>
            </w:r>
          </w:p>
        </w:tc>
        <w:tc>
          <w:tcPr>
            <w:tcW w:w="749" w:type="dxa"/>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Anti-heavy hit</w:t>
            </w:r>
          </w:p>
        </w:tc>
        <w:tc>
          <w:tcPr>
            <w:tcW w:w="1417" w:type="dxa"/>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Anti-heavy hit</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r>
      <w:tr w:rsidR="00824208" w:rsidTr="00560D89">
        <w:trPr>
          <w:jc w:val="center"/>
        </w:trPr>
        <w:tc>
          <w:tcPr>
            <w:tcW w:w="1271" w:type="dxa"/>
            <w:vMerge/>
            <w:tcBorders>
              <w:left w:val="single" w:sz="4" w:space="0" w:color="auto"/>
            </w:tcBorders>
            <w:shd w:val="clear" w:color="auto" w:fill="FBE4D5"/>
            <w:vAlign w:val="center"/>
          </w:tcPr>
          <w:p w:rsidR="00824208" w:rsidRDefault="00824208" w:rsidP="00560D89">
            <w:pPr>
              <w:snapToGrid w:val="0"/>
              <w:jc w:val="center"/>
              <w:rPr>
                <w:rFonts w:cs="MingLiU_HKSCS"/>
                <w:color w:val="000000"/>
                <w:kern w:val="0"/>
                <w:sz w:val="13"/>
                <w:szCs w:val="13"/>
                <w:lang w:eastAsia="en-US" w:bidi="en-US"/>
              </w:rPr>
            </w:pPr>
          </w:p>
        </w:tc>
        <w:tc>
          <w:tcPr>
            <w:tcW w:w="1276" w:type="dxa"/>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9500</w:t>
            </w:r>
          </w:p>
        </w:tc>
        <w:tc>
          <w:tcPr>
            <w:tcW w:w="1417" w:type="dxa"/>
            <w:tcBorders>
              <w:top w:val="single" w:sz="4" w:space="0" w:color="auto"/>
              <w:lef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14399</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1.5-fold fine tuning</w:t>
            </w: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_HKSCS"/>
                <w:color w:val="000000"/>
                <w:kern w:val="0"/>
                <w:sz w:val="13"/>
                <w:szCs w:val="13"/>
                <w:lang w:eastAsia="en-US" w:bidi="en-US"/>
              </w:rPr>
            </w:pPr>
          </w:p>
        </w:tc>
        <w:tc>
          <w:tcPr>
            <w:tcW w:w="1236" w:type="dxa"/>
            <w:vMerge/>
            <w:tcBorders>
              <w:left w:val="single" w:sz="4" w:space="0" w:color="auto"/>
              <w:right w:val="single" w:sz="4" w:space="0" w:color="auto"/>
            </w:tcBorders>
            <w:shd w:val="clear" w:color="auto" w:fill="FBE4D5"/>
            <w:vAlign w:val="center"/>
          </w:tcPr>
          <w:p w:rsidR="00824208" w:rsidRDefault="00824208" w:rsidP="00560D89">
            <w:pPr>
              <w:snapToGrid w:val="0"/>
              <w:jc w:val="center"/>
              <w:rPr>
                <w:rFonts w:cs="MingLiU_HKSCS"/>
                <w:color w:val="000000"/>
                <w:kern w:val="0"/>
                <w:sz w:val="13"/>
                <w:szCs w:val="13"/>
                <w:lang w:eastAsia="en-US" w:bidi="en-US"/>
              </w:rPr>
            </w:pPr>
          </w:p>
        </w:tc>
        <w:tc>
          <w:tcPr>
            <w:tcW w:w="749" w:type="dxa"/>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22</w:t>
            </w:r>
          </w:p>
        </w:tc>
        <w:tc>
          <w:tcPr>
            <w:tcW w:w="1417" w:type="dxa"/>
            <w:tcBorders>
              <w:top w:val="single" w:sz="4" w:space="0" w:color="auto"/>
              <w:left w:val="single" w:sz="4" w:space="0" w:color="auto"/>
              <w:right w:val="single" w:sz="4" w:space="0" w:color="auto"/>
            </w:tcBorders>
            <w:shd w:val="clear" w:color="auto" w:fill="FBE4D5"/>
            <w:vAlign w:val="center"/>
          </w:tcPr>
          <w:p w:rsidR="00824208" w:rsidRDefault="00824208" w:rsidP="00560D89">
            <w:pPr>
              <w:snapToGrid w:val="0"/>
              <w:jc w:val="center"/>
              <w:rPr>
                <w:rFonts w:cs="MingLiU"/>
                <w:sz w:val="13"/>
                <w:szCs w:val="13"/>
              </w:rPr>
            </w:pPr>
            <w:r>
              <w:rPr>
                <w:color w:val="000000"/>
                <w:sz w:val="13"/>
                <w:szCs w:val="13"/>
              </w:rPr>
              <w:t>22</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Consistent</w:t>
            </w:r>
          </w:p>
        </w:tc>
      </w:tr>
      <w:tr w:rsidR="00824208" w:rsidTr="00560D89">
        <w:trPr>
          <w:jc w:val="center"/>
        </w:trPr>
        <w:tc>
          <w:tcPr>
            <w:tcW w:w="1271" w:type="dxa"/>
            <w:vMerge w:val="restart"/>
            <w:tcBorders>
              <w:top w:val="single" w:sz="4" w:space="0" w:color="auto"/>
              <w:left w:val="single" w:sz="4" w:space="0" w:color="auto"/>
            </w:tcBorders>
            <w:shd w:val="clear" w:color="auto" w:fill="D5DCE4"/>
            <w:vAlign w:val="center"/>
          </w:tcPr>
          <w:p w:rsidR="00824208" w:rsidRDefault="00824208" w:rsidP="00560D89">
            <w:pPr>
              <w:snapToGrid w:val="0"/>
              <w:jc w:val="center"/>
              <w:rPr>
                <w:rFonts w:cs="MingLiU"/>
                <w:sz w:val="13"/>
                <w:szCs w:val="13"/>
              </w:rPr>
            </w:pPr>
            <w:r w:rsidRPr="008367A7">
              <w:rPr>
                <w:color w:val="000000"/>
                <w:sz w:val="13"/>
                <w:szCs w:val="13"/>
              </w:rPr>
              <w:t xml:space="preserve">Soul link </w:t>
            </w:r>
            <w:r>
              <w:rPr>
                <w:color w:val="000000"/>
                <w:sz w:val="13"/>
                <w:szCs w:val="13"/>
              </w:rPr>
              <w:t>1</w:t>
            </w:r>
          </w:p>
        </w:tc>
        <w:tc>
          <w:tcPr>
            <w:tcW w:w="1276" w:type="dxa"/>
            <w:tcBorders>
              <w:top w:val="single" w:sz="4" w:space="0" w:color="auto"/>
              <w:lef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Life percentage</w:t>
            </w:r>
          </w:p>
        </w:tc>
        <w:tc>
          <w:tcPr>
            <w:tcW w:w="1417" w:type="dxa"/>
            <w:tcBorders>
              <w:top w:val="single" w:sz="4" w:space="0" w:color="auto"/>
              <w:lef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Life percentage</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c>
          <w:tcPr>
            <w:tcW w:w="142" w:type="dxa"/>
            <w:tcBorders>
              <w:left w:val="single" w:sz="4" w:space="0" w:color="auto"/>
              <w:right w:val="single" w:sz="4" w:space="0" w:color="auto"/>
            </w:tcBorders>
            <w:shd w:val="clear" w:color="auto" w:fill="auto"/>
          </w:tcPr>
          <w:p w:rsidR="00824208" w:rsidRDefault="00824208" w:rsidP="00560D89">
            <w:pPr>
              <w:tabs>
                <w:tab w:val="left" w:pos="1326"/>
              </w:tabs>
              <w:snapToGrid w:val="0"/>
              <w:jc w:val="center"/>
              <w:rPr>
                <w:rFonts w:cs="MingLiU"/>
                <w:color w:val="000000"/>
                <w:sz w:val="13"/>
                <w:szCs w:val="13"/>
                <w:lang w:val="zh-CN" w:bidi="zh-CN"/>
              </w:rPr>
            </w:pPr>
          </w:p>
        </w:tc>
        <w:tc>
          <w:tcPr>
            <w:tcW w:w="1236" w:type="dxa"/>
            <w:vMerge w:val="restart"/>
            <w:tcBorders>
              <w:top w:val="single" w:sz="4" w:space="0" w:color="auto"/>
              <w:left w:val="single" w:sz="4" w:space="0" w:color="auto"/>
              <w:right w:val="single" w:sz="4" w:space="0" w:color="auto"/>
            </w:tcBorders>
            <w:shd w:val="clear" w:color="auto" w:fill="D5DCE4"/>
            <w:vAlign w:val="center"/>
          </w:tcPr>
          <w:p w:rsidR="00824208" w:rsidRDefault="00824208" w:rsidP="00560D89">
            <w:pPr>
              <w:tabs>
                <w:tab w:val="left" w:pos="1326"/>
              </w:tabs>
              <w:snapToGrid w:val="0"/>
              <w:jc w:val="center"/>
              <w:rPr>
                <w:rFonts w:cs="MingLiU"/>
                <w:sz w:val="13"/>
                <w:szCs w:val="13"/>
              </w:rPr>
            </w:pPr>
            <w:r w:rsidRPr="008367A7">
              <w:rPr>
                <w:color w:val="000000"/>
                <w:sz w:val="13"/>
                <w:szCs w:val="13"/>
              </w:rPr>
              <w:t xml:space="preserve">Soul link </w:t>
            </w:r>
            <w:r>
              <w:rPr>
                <w:color w:val="000000"/>
                <w:sz w:val="13"/>
                <w:szCs w:val="13"/>
              </w:rPr>
              <w:t>1</w:t>
            </w:r>
          </w:p>
        </w:tc>
        <w:tc>
          <w:tcPr>
            <w:tcW w:w="749" w:type="dxa"/>
            <w:tcBorders>
              <w:top w:val="single" w:sz="4" w:space="0" w:color="auto"/>
              <w:left w:val="single" w:sz="4" w:space="0" w:color="auto"/>
              <w:righ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Life percentage</w:t>
            </w:r>
          </w:p>
        </w:tc>
        <w:tc>
          <w:tcPr>
            <w:tcW w:w="1417" w:type="dxa"/>
            <w:tcBorders>
              <w:top w:val="single" w:sz="4" w:space="0" w:color="auto"/>
              <w:left w:val="single" w:sz="4" w:space="0" w:color="auto"/>
              <w:righ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Life percentage</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r>
      <w:tr w:rsidR="00824208" w:rsidTr="00560D89">
        <w:trPr>
          <w:jc w:val="center"/>
        </w:trPr>
        <w:tc>
          <w:tcPr>
            <w:tcW w:w="1271" w:type="dxa"/>
            <w:vMerge/>
            <w:tcBorders>
              <w:left w:val="single" w:sz="4" w:space="0" w:color="auto"/>
            </w:tcBorders>
            <w:shd w:val="clear" w:color="auto" w:fill="D5DCE4"/>
            <w:vAlign w:val="center"/>
          </w:tcPr>
          <w:p w:rsidR="00824208" w:rsidRDefault="00824208" w:rsidP="00560D89">
            <w:pPr>
              <w:snapToGrid w:val="0"/>
              <w:jc w:val="center"/>
              <w:rPr>
                <w:rFonts w:cs="MingLiU_HKSCS"/>
                <w:color w:val="000000"/>
                <w:kern w:val="0"/>
                <w:sz w:val="13"/>
                <w:szCs w:val="13"/>
                <w:lang w:eastAsia="en-US" w:bidi="en-US"/>
              </w:rPr>
            </w:pPr>
          </w:p>
        </w:tc>
        <w:tc>
          <w:tcPr>
            <w:tcW w:w="1276" w:type="dxa"/>
            <w:tcBorders>
              <w:top w:val="single" w:sz="4" w:space="0" w:color="auto"/>
              <w:lef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11</w:t>
            </w:r>
          </w:p>
        </w:tc>
        <w:tc>
          <w:tcPr>
            <w:tcW w:w="1417" w:type="dxa"/>
            <w:tcBorders>
              <w:top w:val="single" w:sz="4" w:space="0" w:color="auto"/>
              <w:lef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11</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Consistent</w:t>
            </w: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_HKSCS"/>
                <w:color w:val="000000"/>
                <w:kern w:val="0"/>
                <w:sz w:val="13"/>
                <w:szCs w:val="13"/>
                <w:lang w:eastAsia="en-US" w:bidi="en-US"/>
              </w:rPr>
            </w:pPr>
          </w:p>
        </w:tc>
        <w:tc>
          <w:tcPr>
            <w:tcW w:w="1236" w:type="dxa"/>
            <w:vMerge/>
            <w:tcBorders>
              <w:left w:val="single" w:sz="4" w:space="0" w:color="auto"/>
              <w:right w:val="single" w:sz="4" w:space="0" w:color="auto"/>
            </w:tcBorders>
            <w:shd w:val="clear" w:color="auto" w:fill="D5DCE4"/>
            <w:vAlign w:val="center"/>
          </w:tcPr>
          <w:p w:rsidR="00824208" w:rsidRDefault="00824208" w:rsidP="00560D89">
            <w:pPr>
              <w:snapToGrid w:val="0"/>
              <w:jc w:val="center"/>
              <w:rPr>
                <w:rFonts w:cs="MingLiU_HKSCS"/>
                <w:color w:val="000000"/>
                <w:kern w:val="0"/>
                <w:sz w:val="13"/>
                <w:szCs w:val="13"/>
                <w:lang w:eastAsia="en-US" w:bidi="en-US"/>
              </w:rPr>
            </w:pPr>
          </w:p>
        </w:tc>
        <w:tc>
          <w:tcPr>
            <w:tcW w:w="749" w:type="dxa"/>
            <w:tcBorders>
              <w:top w:val="single" w:sz="4" w:space="0" w:color="auto"/>
              <w:left w:val="single" w:sz="4" w:space="0" w:color="auto"/>
              <w:righ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11</w:t>
            </w:r>
          </w:p>
        </w:tc>
        <w:tc>
          <w:tcPr>
            <w:tcW w:w="1417" w:type="dxa"/>
            <w:tcBorders>
              <w:top w:val="single" w:sz="4" w:space="0" w:color="auto"/>
              <w:left w:val="single" w:sz="4" w:space="0" w:color="auto"/>
              <w:righ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13</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Fine tuning</w:t>
            </w:r>
          </w:p>
        </w:tc>
      </w:tr>
      <w:tr w:rsidR="00824208" w:rsidTr="00560D89">
        <w:trPr>
          <w:jc w:val="center"/>
        </w:trPr>
        <w:tc>
          <w:tcPr>
            <w:tcW w:w="1271" w:type="dxa"/>
            <w:vMerge w:val="restart"/>
            <w:tcBorders>
              <w:top w:val="single" w:sz="4" w:space="0" w:color="auto"/>
              <w:left w:val="single" w:sz="4" w:space="0" w:color="auto"/>
            </w:tcBorders>
            <w:shd w:val="clear" w:color="auto" w:fill="D5DCE4"/>
            <w:vAlign w:val="center"/>
          </w:tcPr>
          <w:p w:rsidR="00824208" w:rsidRDefault="00824208" w:rsidP="00560D89">
            <w:pPr>
              <w:snapToGrid w:val="0"/>
              <w:jc w:val="center"/>
              <w:rPr>
                <w:rFonts w:cs="MingLiU_HKSCS"/>
                <w:color w:val="000000"/>
                <w:kern w:val="0"/>
                <w:sz w:val="13"/>
                <w:szCs w:val="13"/>
                <w:lang w:eastAsia="en-US" w:bidi="en-US"/>
              </w:rPr>
            </w:pPr>
            <w:r w:rsidRPr="008367A7">
              <w:rPr>
                <w:color w:val="000000"/>
                <w:sz w:val="13"/>
                <w:szCs w:val="13"/>
              </w:rPr>
              <w:t xml:space="preserve">Soul link </w:t>
            </w:r>
            <w:r>
              <w:rPr>
                <w:color w:val="000000"/>
                <w:sz w:val="13"/>
                <w:szCs w:val="13"/>
              </w:rPr>
              <w:t>2</w:t>
            </w:r>
          </w:p>
        </w:tc>
        <w:tc>
          <w:tcPr>
            <w:tcW w:w="1276" w:type="dxa"/>
            <w:tcBorders>
              <w:top w:val="single" w:sz="4" w:space="0" w:color="auto"/>
              <w:lef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Ocean</w:t>
            </w:r>
          </w:p>
        </w:tc>
        <w:tc>
          <w:tcPr>
            <w:tcW w:w="1417" w:type="dxa"/>
            <w:tcBorders>
              <w:top w:val="single" w:sz="4" w:space="0" w:color="auto"/>
              <w:lef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Immortal</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_HKSCS"/>
                <w:color w:val="000000"/>
                <w:kern w:val="0"/>
                <w:sz w:val="13"/>
                <w:szCs w:val="13"/>
                <w:lang w:eastAsia="en-US" w:bidi="en-US"/>
              </w:rPr>
            </w:pPr>
          </w:p>
        </w:tc>
        <w:tc>
          <w:tcPr>
            <w:tcW w:w="1236" w:type="dxa"/>
            <w:vMerge w:val="restart"/>
            <w:tcBorders>
              <w:top w:val="single" w:sz="4" w:space="0" w:color="auto"/>
              <w:left w:val="single" w:sz="4" w:space="0" w:color="auto"/>
              <w:right w:val="single" w:sz="4" w:space="0" w:color="auto"/>
            </w:tcBorders>
            <w:shd w:val="clear" w:color="auto" w:fill="D5DCE4"/>
            <w:vAlign w:val="center"/>
          </w:tcPr>
          <w:p w:rsidR="00824208" w:rsidRDefault="00824208" w:rsidP="00560D89">
            <w:pPr>
              <w:tabs>
                <w:tab w:val="left" w:pos="1326"/>
              </w:tabs>
              <w:snapToGrid w:val="0"/>
              <w:jc w:val="center"/>
              <w:rPr>
                <w:rFonts w:cs="MingLiU_HKSCS"/>
                <w:color w:val="000000"/>
                <w:kern w:val="0"/>
                <w:sz w:val="13"/>
                <w:szCs w:val="13"/>
                <w:lang w:eastAsia="en-US" w:bidi="en-US"/>
              </w:rPr>
            </w:pPr>
            <w:r w:rsidRPr="008367A7">
              <w:rPr>
                <w:color w:val="000000"/>
                <w:sz w:val="13"/>
                <w:szCs w:val="13"/>
              </w:rPr>
              <w:t xml:space="preserve">Soul link </w:t>
            </w:r>
            <w:r>
              <w:rPr>
                <w:color w:val="000000"/>
                <w:sz w:val="13"/>
                <w:szCs w:val="13"/>
              </w:rPr>
              <w:t>2</w:t>
            </w:r>
          </w:p>
        </w:tc>
        <w:tc>
          <w:tcPr>
            <w:tcW w:w="749" w:type="dxa"/>
            <w:tcBorders>
              <w:top w:val="single" w:sz="4" w:space="0" w:color="auto"/>
              <w:left w:val="single" w:sz="4" w:space="0" w:color="auto"/>
              <w:righ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Ocean</w:t>
            </w:r>
          </w:p>
        </w:tc>
        <w:tc>
          <w:tcPr>
            <w:tcW w:w="1417" w:type="dxa"/>
            <w:tcBorders>
              <w:top w:val="single" w:sz="4" w:space="0" w:color="auto"/>
              <w:left w:val="single" w:sz="4" w:space="0" w:color="auto"/>
              <w:righ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Immortal</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r>
      <w:tr w:rsidR="00824208" w:rsidTr="00560D89">
        <w:trPr>
          <w:jc w:val="center"/>
        </w:trPr>
        <w:tc>
          <w:tcPr>
            <w:tcW w:w="1271" w:type="dxa"/>
            <w:vMerge/>
            <w:tcBorders>
              <w:left w:val="single" w:sz="4" w:space="0" w:color="auto"/>
            </w:tcBorders>
            <w:shd w:val="clear" w:color="auto" w:fill="D5DCE4"/>
            <w:vAlign w:val="center"/>
          </w:tcPr>
          <w:p w:rsidR="00824208" w:rsidRDefault="00824208" w:rsidP="00560D89">
            <w:pPr>
              <w:snapToGrid w:val="0"/>
              <w:jc w:val="center"/>
              <w:rPr>
                <w:rFonts w:cs="MingLiU"/>
                <w:sz w:val="13"/>
                <w:szCs w:val="13"/>
              </w:rPr>
            </w:pPr>
          </w:p>
        </w:tc>
        <w:tc>
          <w:tcPr>
            <w:tcW w:w="1276" w:type="dxa"/>
            <w:tcBorders>
              <w:top w:val="single" w:sz="4" w:space="0" w:color="auto"/>
              <w:lef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6</w:t>
            </w:r>
          </w:p>
        </w:tc>
        <w:tc>
          <w:tcPr>
            <w:tcW w:w="1417" w:type="dxa"/>
            <w:tcBorders>
              <w:top w:val="single" w:sz="4" w:space="0" w:color="auto"/>
              <w:lef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6</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Consistent</w:t>
            </w:r>
          </w:p>
        </w:tc>
        <w:tc>
          <w:tcPr>
            <w:tcW w:w="142" w:type="dxa"/>
            <w:tcBorders>
              <w:left w:val="single" w:sz="4" w:space="0" w:color="auto"/>
              <w:right w:val="single" w:sz="4" w:space="0" w:color="auto"/>
            </w:tcBorders>
            <w:shd w:val="clear" w:color="auto" w:fill="auto"/>
          </w:tcPr>
          <w:p w:rsidR="00824208" w:rsidRDefault="00824208" w:rsidP="00560D89">
            <w:pPr>
              <w:tabs>
                <w:tab w:val="left" w:pos="1326"/>
              </w:tabs>
              <w:snapToGrid w:val="0"/>
              <w:jc w:val="center"/>
              <w:rPr>
                <w:rFonts w:cs="MingLiU"/>
                <w:color w:val="000000"/>
                <w:sz w:val="13"/>
                <w:szCs w:val="13"/>
                <w:lang w:val="zh-CN" w:bidi="zh-CN"/>
              </w:rPr>
            </w:pPr>
          </w:p>
        </w:tc>
        <w:tc>
          <w:tcPr>
            <w:tcW w:w="1236" w:type="dxa"/>
            <w:vMerge/>
            <w:tcBorders>
              <w:left w:val="single" w:sz="4" w:space="0" w:color="auto"/>
              <w:right w:val="single" w:sz="4" w:space="0" w:color="auto"/>
            </w:tcBorders>
            <w:shd w:val="clear" w:color="auto" w:fill="D5DCE4"/>
            <w:vAlign w:val="center"/>
          </w:tcPr>
          <w:p w:rsidR="00824208" w:rsidRDefault="00824208" w:rsidP="00560D89">
            <w:pPr>
              <w:tabs>
                <w:tab w:val="left" w:pos="1326"/>
              </w:tabs>
              <w:snapToGrid w:val="0"/>
              <w:jc w:val="center"/>
              <w:rPr>
                <w:rFonts w:cs="MingLiU"/>
                <w:sz w:val="13"/>
                <w:szCs w:val="13"/>
              </w:rPr>
            </w:pPr>
          </w:p>
        </w:tc>
        <w:tc>
          <w:tcPr>
            <w:tcW w:w="749" w:type="dxa"/>
            <w:tcBorders>
              <w:top w:val="single" w:sz="4" w:space="0" w:color="auto"/>
              <w:left w:val="single" w:sz="4" w:space="0" w:color="auto"/>
              <w:righ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7</w:t>
            </w:r>
          </w:p>
        </w:tc>
        <w:tc>
          <w:tcPr>
            <w:tcW w:w="1417" w:type="dxa"/>
            <w:tcBorders>
              <w:top w:val="single" w:sz="4" w:space="0" w:color="auto"/>
              <w:left w:val="single" w:sz="4" w:space="0" w:color="auto"/>
              <w:righ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7</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Consistent</w:t>
            </w:r>
          </w:p>
        </w:tc>
      </w:tr>
      <w:tr w:rsidR="00824208" w:rsidTr="00560D89">
        <w:trPr>
          <w:jc w:val="center"/>
        </w:trPr>
        <w:tc>
          <w:tcPr>
            <w:tcW w:w="1271" w:type="dxa"/>
            <w:vMerge/>
            <w:tcBorders>
              <w:left w:val="single" w:sz="4" w:space="0" w:color="auto"/>
            </w:tcBorders>
            <w:shd w:val="clear" w:color="auto" w:fill="D5DCE4"/>
            <w:vAlign w:val="center"/>
          </w:tcPr>
          <w:p w:rsidR="00824208" w:rsidRDefault="00824208" w:rsidP="00560D89">
            <w:pPr>
              <w:snapToGrid w:val="0"/>
              <w:jc w:val="center"/>
              <w:rPr>
                <w:rFonts w:cs="MingLiU_HKSCS"/>
                <w:color w:val="000000"/>
                <w:kern w:val="0"/>
                <w:sz w:val="13"/>
                <w:szCs w:val="13"/>
                <w:lang w:eastAsia="en-US" w:bidi="en-US"/>
              </w:rPr>
            </w:pPr>
          </w:p>
        </w:tc>
        <w:tc>
          <w:tcPr>
            <w:tcW w:w="1276" w:type="dxa"/>
            <w:tcBorders>
              <w:top w:val="single" w:sz="4" w:space="0" w:color="auto"/>
              <w:lef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Life percentage</w:t>
            </w:r>
          </w:p>
        </w:tc>
        <w:tc>
          <w:tcPr>
            <w:tcW w:w="1417" w:type="dxa"/>
            <w:tcBorders>
              <w:top w:val="single" w:sz="4" w:space="0" w:color="auto"/>
              <w:lef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Life percentage</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_HKSCS"/>
                <w:color w:val="000000"/>
                <w:kern w:val="0"/>
                <w:sz w:val="13"/>
                <w:szCs w:val="13"/>
                <w:lang w:eastAsia="en-US" w:bidi="en-US"/>
              </w:rPr>
            </w:pPr>
          </w:p>
        </w:tc>
        <w:tc>
          <w:tcPr>
            <w:tcW w:w="1236" w:type="dxa"/>
            <w:vMerge/>
            <w:tcBorders>
              <w:left w:val="single" w:sz="4" w:space="0" w:color="auto"/>
              <w:right w:val="single" w:sz="4" w:space="0" w:color="auto"/>
            </w:tcBorders>
            <w:shd w:val="clear" w:color="auto" w:fill="D5DCE4"/>
            <w:vAlign w:val="center"/>
          </w:tcPr>
          <w:p w:rsidR="00824208" w:rsidRDefault="00824208" w:rsidP="00560D89">
            <w:pPr>
              <w:snapToGrid w:val="0"/>
              <w:jc w:val="center"/>
              <w:rPr>
                <w:rFonts w:cs="MingLiU_HKSCS"/>
                <w:color w:val="000000"/>
                <w:kern w:val="0"/>
                <w:sz w:val="13"/>
                <w:szCs w:val="13"/>
                <w:lang w:eastAsia="en-US" w:bidi="en-US"/>
              </w:rPr>
            </w:pPr>
          </w:p>
        </w:tc>
        <w:tc>
          <w:tcPr>
            <w:tcW w:w="749" w:type="dxa"/>
            <w:tcBorders>
              <w:top w:val="single" w:sz="4" w:space="0" w:color="auto"/>
              <w:left w:val="single" w:sz="4" w:space="0" w:color="auto"/>
              <w:righ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Life percentage</w:t>
            </w:r>
          </w:p>
        </w:tc>
        <w:tc>
          <w:tcPr>
            <w:tcW w:w="1417" w:type="dxa"/>
            <w:tcBorders>
              <w:top w:val="single" w:sz="4" w:space="0" w:color="auto"/>
              <w:left w:val="single" w:sz="4" w:space="0" w:color="auto"/>
              <w:righ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Life percentage</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r>
      <w:tr w:rsidR="00824208" w:rsidTr="00560D89">
        <w:trPr>
          <w:jc w:val="center"/>
        </w:trPr>
        <w:tc>
          <w:tcPr>
            <w:tcW w:w="1271" w:type="dxa"/>
            <w:vMerge/>
            <w:tcBorders>
              <w:left w:val="single" w:sz="4" w:space="0" w:color="auto"/>
            </w:tcBorders>
            <w:shd w:val="clear" w:color="auto" w:fill="D5DCE4"/>
            <w:vAlign w:val="center"/>
          </w:tcPr>
          <w:p w:rsidR="00824208" w:rsidRDefault="00824208" w:rsidP="00560D89">
            <w:pPr>
              <w:snapToGrid w:val="0"/>
              <w:jc w:val="center"/>
              <w:rPr>
                <w:rFonts w:cs="MingLiU_HKSCS"/>
                <w:color w:val="000000"/>
                <w:kern w:val="0"/>
                <w:sz w:val="13"/>
                <w:szCs w:val="13"/>
                <w:lang w:eastAsia="en-US" w:bidi="en-US"/>
              </w:rPr>
            </w:pPr>
          </w:p>
        </w:tc>
        <w:tc>
          <w:tcPr>
            <w:tcW w:w="1276" w:type="dxa"/>
            <w:tcBorders>
              <w:top w:val="single" w:sz="4" w:space="0" w:color="auto"/>
              <w:lef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16</w:t>
            </w:r>
          </w:p>
        </w:tc>
        <w:tc>
          <w:tcPr>
            <w:tcW w:w="1417" w:type="dxa"/>
            <w:tcBorders>
              <w:top w:val="single" w:sz="4" w:space="0" w:color="auto"/>
              <w:lef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16</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Consistent</w:t>
            </w: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_HKSCS"/>
                <w:color w:val="000000"/>
                <w:kern w:val="0"/>
                <w:sz w:val="13"/>
                <w:szCs w:val="13"/>
                <w:lang w:eastAsia="en-US" w:bidi="en-US"/>
              </w:rPr>
            </w:pPr>
          </w:p>
        </w:tc>
        <w:tc>
          <w:tcPr>
            <w:tcW w:w="1236" w:type="dxa"/>
            <w:vMerge/>
            <w:tcBorders>
              <w:left w:val="single" w:sz="4" w:space="0" w:color="auto"/>
              <w:right w:val="single" w:sz="4" w:space="0" w:color="auto"/>
            </w:tcBorders>
            <w:shd w:val="clear" w:color="auto" w:fill="D5DCE4"/>
            <w:vAlign w:val="center"/>
          </w:tcPr>
          <w:p w:rsidR="00824208" w:rsidRDefault="00824208" w:rsidP="00560D89">
            <w:pPr>
              <w:snapToGrid w:val="0"/>
              <w:jc w:val="center"/>
              <w:rPr>
                <w:rFonts w:cs="MingLiU_HKSCS"/>
                <w:color w:val="000000"/>
                <w:kern w:val="0"/>
                <w:sz w:val="13"/>
                <w:szCs w:val="13"/>
                <w:lang w:eastAsia="en-US" w:bidi="en-US"/>
              </w:rPr>
            </w:pPr>
          </w:p>
        </w:tc>
        <w:tc>
          <w:tcPr>
            <w:tcW w:w="749" w:type="dxa"/>
            <w:tcBorders>
              <w:top w:val="single" w:sz="4" w:space="0" w:color="auto"/>
              <w:left w:val="single" w:sz="4" w:space="0" w:color="auto"/>
              <w:righ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20</w:t>
            </w:r>
          </w:p>
        </w:tc>
        <w:tc>
          <w:tcPr>
            <w:tcW w:w="1417" w:type="dxa"/>
            <w:tcBorders>
              <w:top w:val="single" w:sz="4" w:space="0" w:color="auto"/>
              <w:left w:val="single" w:sz="4" w:space="0" w:color="auto"/>
              <w:righ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20</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Consistent</w:t>
            </w:r>
          </w:p>
        </w:tc>
      </w:tr>
      <w:tr w:rsidR="00824208" w:rsidTr="00560D89">
        <w:trPr>
          <w:jc w:val="center"/>
        </w:trPr>
        <w:tc>
          <w:tcPr>
            <w:tcW w:w="1271" w:type="dxa"/>
            <w:vMerge w:val="restart"/>
            <w:tcBorders>
              <w:top w:val="single" w:sz="4" w:space="0" w:color="auto"/>
              <w:left w:val="single" w:sz="4" w:space="0" w:color="auto"/>
            </w:tcBorders>
            <w:shd w:val="clear" w:color="auto" w:fill="D5DCE4"/>
            <w:vAlign w:val="center"/>
          </w:tcPr>
          <w:p w:rsidR="00824208" w:rsidRDefault="00824208" w:rsidP="00560D89">
            <w:pPr>
              <w:snapToGrid w:val="0"/>
              <w:jc w:val="center"/>
              <w:rPr>
                <w:rFonts w:cs="MingLiU_HKSCS"/>
                <w:color w:val="000000"/>
                <w:kern w:val="0"/>
                <w:sz w:val="13"/>
                <w:szCs w:val="13"/>
                <w:lang w:eastAsia="en-US" w:bidi="en-US"/>
              </w:rPr>
            </w:pPr>
            <w:r w:rsidRPr="008367A7">
              <w:rPr>
                <w:color w:val="000000"/>
                <w:sz w:val="13"/>
                <w:szCs w:val="13"/>
              </w:rPr>
              <w:t xml:space="preserve">Soul link </w:t>
            </w:r>
            <w:r>
              <w:rPr>
                <w:color w:val="000000"/>
                <w:sz w:val="13"/>
                <w:szCs w:val="13"/>
              </w:rPr>
              <w:t>3</w:t>
            </w:r>
          </w:p>
        </w:tc>
        <w:tc>
          <w:tcPr>
            <w:tcW w:w="1276" w:type="dxa"/>
            <w:tcBorders>
              <w:top w:val="single" w:sz="4" w:space="0" w:color="auto"/>
              <w:left w:val="single" w:sz="4" w:space="0" w:color="auto"/>
            </w:tcBorders>
            <w:shd w:val="clear" w:color="auto" w:fill="D5DCE4"/>
            <w:vAlign w:val="center"/>
          </w:tcPr>
          <w:p w:rsidR="00824208" w:rsidRDefault="00824208" w:rsidP="00560D89">
            <w:pPr>
              <w:snapToGrid w:val="0"/>
              <w:jc w:val="center"/>
              <w:rPr>
                <w:rFonts w:cs="MingLiU"/>
                <w:sz w:val="13"/>
                <w:szCs w:val="13"/>
              </w:rPr>
            </w:pPr>
            <w:r w:rsidRPr="008367A7">
              <w:rPr>
                <w:color w:val="000000"/>
                <w:sz w:val="13"/>
                <w:szCs w:val="13"/>
              </w:rPr>
              <w:t>Purple Gold Crown</w:t>
            </w:r>
          </w:p>
        </w:tc>
        <w:tc>
          <w:tcPr>
            <w:tcW w:w="1417" w:type="dxa"/>
            <w:tcBorders>
              <w:top w:val="single" w:sz="4" w:space="0" w:color="auto"/>
              <w:left w:val="single" w:sz="4" w:space="0" w:color="auto"/>
            </w:tcBorders>
            <w:shd w:val="clear" w:color="auto" w:fill="D5DCE4"/>
            <w:vAlign w:val="center"/>
          </w:tcPr>
          <w:p w:rsidR="00824208" w:rsidRDefault="00824208" w:rsidP="00560D89">
            <w:pPr>
              <w:snapToGrid w:val="0"/>
              <w:jc w:val="center"/>
              <w:rPr>
                <w:rFonts w:cs="MingLiU"/>
                <w:sz w:val="13"/>
                <w:szCs w:val="13"/>
              </w:rPr>
            </w:pPr>
            <w:r w:rsidRPr="008367A7">
              <w:rPr>
                <w:color w:val="000000"/>
                <w:sz w:val="13"/>
                <w:szCs w:val="13"/>
              </w:rPr>
              <w:t>Sky Burning</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No.36 equipment</w:t>
            </w: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_HKSCS"/>
                <w:color w:val="000000"/>
                <w:kern w:val="0"/>
                <w:sz w:val="13"/>
                <w:szCs w:val="13"/>
                <w:lang w:eastAsia="en-US" w:bidi="en-US"/>
              </w:rPr>
            </w:pPr>
          </w:p>
        </w:tc>
        <w:tc>
          <w:tcPr>
            <w:tcW w:w="1236" w:type="dxa"/>
            <w:vMerge w:val="restart"/>
            <w:tcBorders>
              <w:top w:val="single" w:sz="4" w:space="0" w:color="auto"/>
              <w:left w:val="single" w:sz="4" w:space="0" w:color="auto"/>
              <w:right w:val="single" w:sz="4" w:space="0" w:color="auto"/>
            </w:tcBorders>
            <w:shd w:val="clear" w:color="auto" w:fill="D5DCE4"/>
            <w:vAlign w:val="center"/>
          </w:tcPr>
          <w:p w:rsidR="00824208" w:rsidRDefault="00824208" w:rsidP="00560D89">
            <w:pPr>
              <w:tabs>
                <w:tab w:val="left" w:pos="1350"/>
              </w:tabs>
              <w:snapToGrid w:val="0"/>
              <w:jc w:val="center"/>
              <w:rPr>
                <w:rFonts w:cs="MingLiU_HKSCS"/>
                <w:color w:val="000000"/>
                <w:kern w:val="0"/>
                <w:sz w:val="13"/>
                <w:szCs w:val="13"/>
                <w:lang w:eastAsia="en-US" w:bidi="en-US"/>
              </w:rPr>
            </w:pPr>
            <w:r w:rsidRPr="008367A7">
              <w:rPr>
                <w:color w:val="000000"/>
                <w:sz w:val="13"/>
                <w:szCs w:val="13"/>
              </w:rPr>
              <w:t xml:space="preserve">Soul link </w:t>
            </w:r>
            <w:r>
              <w:rPr>
                <w:color w:val="000000"/>
                <w:sz w:val="13"/>
                <w:szCs w:val="13"/>
              </w:rPr>
              <w:t>3</w:t>
            </w:r>
          </w:p>
        </w:tc>
        <w:tc>
          <w:tcPr>
            <w:tcW w:w="749" w:type="dxa"/>
            <w:tcBorders>
              <w:top w:val="single" w:sz="4" w:space="0" w:color="auto"/>
              <w:left w:val="single" w:sz="4" w:space="0" w:color="auto"/>
              <w:right w:val="single" w:sz="4" w:space="0" w:color="auto"/>
            </w:tcBorders>
            <w:shd w:val="clear" w:color="auto" w:fill="D5DCE4"/>
            <w:vAlign w:val="center"/>
          </w:tcPr>
          <w:p w:rsidR="00824208" w:rsidRDefault="00824208" w:rsidP="00560D89">
            <w:pPr>
              <w:snapToGrid w:val="0"/>
              <w:jc w:val="center"/>
              <w:rPr>
                <w:rFonts w:cs="MingLiU"/>
                <w:sz w:val="13"/>
                <w:szCs w:val="13"/>
              </w:rPr>
            </w:pPr>
            <w:r w:rsidRPr="008367A7">
              <w:rPr>
                <w:color w:val="000000"/>
                <w:sz w:val="13"/>
                <w:szCs w:val="13"/>
              </w:rPr>
              <w:t>Fallen Armband</w:t>
            </w:r>
          </w:p>
        </w:tc>
        <w:tc>
          <w:tcPr>
            <w:tcW w:w="1417" w:type="dxa"/>
            <w:tcBorders>
              <w:top w:val="single" w:sz="4" w:space="0" w:color="auto"/>
              <w:left w:val="single" w:sz="4" w:space="0" w:color="auto"/>
              <w:right w:val="single" w:sz="4" w:space="0" w:color="auto"/>
            </w:tcBorders>
            <w:shd w:val="clear" w:color="auto" w:fill="D5DCE4"/>
            <w:vAlign w:val="center"/>
          </w:tcPr>
          <w:p w:rsidR="00824208" w:rsidRDefault="00824208" w:rsidP="00560D89">
            <w:pPr>
              <w:snapToGrid w:val="0"/>
              <w:jc w:val="center"/>
              <w:rPr>
                <w:rFonts w:cs="MingLiU"/>
                <w:sz w:val="13"/>
                <w:szCs w:val="13"/>
              </w:rPr>
            </w:pPr>
            <w:r w:rsidRPr="008367A7">
              <w:rPr>
                <w:color w:val="000000"/>
                <w:sz w:val="13"/>
                <w:szCs w:val="13"/>
              </w:rPr>
              <w:t>Human and Royal Dragon's Heart</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No.14 equipment</w:t>
            </w:r>
          </w:p>
        </w:tc>
      </w:tr>
      <w:tr w:rsidR="00824208" w:rsidTr="00560D89">
        <w:trPr>
          <w:jc w:val="center"/>
        </w:trPr>
        <w:tc>
          <w:tcPr>
            <w:tcW w:w="1271" w:type="dxa"/>
            <w:vMerge/>
            <w:tcBorders>
              <w:left w:val="single" w:sz="4" w:space="0" w:color="auto"/>
            </w:tcBorders>
            <w:shd w:val="clear" w:color="auto" w:fill="D5DCE4"/>
            <w:vAlign w:val="center"/>
          </w:tcPr>
          <w:p w:rsidR="00824208" w:rsidRDefault="00824208" w:rsidP="00560D89">
            <w:pPr>
              <w:snapToGrid w:val="0"/>
              <w:jc w:val="center"/>
              <w:rPr>
                <w:rFonts w:cs="MingLiU"/>
                <w:sz w:val="13"/>
                <w:szCs w:val="13"/>
              </w:rPr>
            </w:pPr>
          </w:p>
        </w:tc>
        <w:tc>
          <w:tcPr>
            <w:tcW w:w="1276" w:type="dxa"/>
            <w:tcBorders>
              <w:top w:val="single" w:sz="4" w:space="0" w:color="auto"/>
              <w:left w:val="single" w:sz="4" w:space="0" w:color="auto"/>
            </w:tcBorders>
            <w:shd w:val="clear" w:color="auto" w:fill="D5DCE4"/>
            <w:vAlign w:val="center"/>
          </w:tcPr>
          <w:p w:rsidR="00824208" w:rsidRDefault="00824208" w:rsidP="00560D89">
            <w:pPr>
              <w:snapToGrid w:val="0"/>
              <w:jc w:val="center"/>
              <w:rPr>
                <w:rFonts w:cs="MingLiU"/>
                <w:sz w:val="13"/>
                <w:szCs w:val="13"/>
              </w:rPr>
            </w:pPr>
            <w:r w:rsidRPr="008367A7">
              <w:rPr>
                <w:color w:val="000000"/>
                <w:sz w:val="13"/>
                <w:szCs w:val="13"/>
              </w:rPr>
              <w:t>Rage of Haixiu</w:t>
            </w:r>
          </w:p>
        </w:tc>
        <w:tc>
          <w:tcPr>
            <w:tcW w:w="1417" w:type="dxa"/>
            <w:tcBorders>
              <w:top w:val="single" w:sz="4" w:space="0" w:color="auto"/>
              <w:left w:val="single" w:sz="4" w:space="0" w:color="auto"/>
            </w:tcBorders>
            <w:shd w:val="clear" w:color="auto" w:fill="D5DCE4"/>
            <w:vAlign w:val="center"/>
          </w:tcPr>
          <w:p w:rsidR="00824208" w:rsidRDefault="00824208" w:rsidP="00560D89">
            <w:pPr>
              <w:snapToGrid w:val="0"/>
              <w:jc w:val="center"/>
              <w:rPr>
                <w:rFonts w:cs="MingLiU"/>
                <w:sz w:val="13"/>
                <w:szCs w:val="13"/>
              </w:rPr>
            </w:pPr>
            <w:r w:rsidRPr="008367A7">
              <w:rPr>
                <w:color w:val="000000"/>
                <w:sz w:val="13"/>
                <w:szCs w:val="13"/>
              </w:rPr>
              <w:t>Jade Dynasty</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No.3 equipment</w:t>
            </w:r>
          </w:p>
        </w:tc>
        <w:tc>
          <w:tcPr>
            <w:tcW w:w="142" w:type="dxa"/>
            <w:tcBorders>
              <w:left w:val="single" w:sz="4" w:space="0" w:color="auto"/>
              <w:right w:val="single" w:sz="4" w:space="0" w:color="auto"/>
            </w:tcBorders>
            <w:shd w:val="clear" w:color="auto" w:fill="auto"/>
          </w:tcPr>
          <w:p w:rsidR="00824208" w:rsidRDefault="00824208" w:rsidP="00560D89">
            <w:pPr>
              <w:tabs>
                <w:tab w:val="left" w:pos="1350"/>
              </w:tabs>
              <w:snapToGrid w:val="0"/>
              <w:jc w:val="center"/>
              <w:rPr>
                <w:rFonts w:cs="MingLiU"/>
                <w:color w:val="000000"/>
                <w:sz w:val="13"/>
                <w:szCs w:val="13"/>
                <w:lang w:val="zh-CN" w:bidi="zh-CN"/>
              </w:rPr>
            </w:pPr>
          </w:p>
        </w:tc>
        <w:tc>
          <w:tcPr>
            <w:tcW w:w="1236" w:type="dxa"/>
            <w:vMerge/>
            <w:tcBorders>
              <w:left w:val="single" w:sz="4" w:space="0" w:color="auto"/>
              <w:right w:val="single" w:sz="4" w:space="0" w:color="auto"/>
            </w:tcBorders>
            <w:shd w:val="clear" w:color="auto" w:fill="D5DCE4"/>
            <w:vAlign w:val="center"/>
          </w:tcPr>
          <w:p w:rsidR="00824208" w:rsidRDefault="00824208" w:rsidP="00560D89">
            <w:pPr>
              <w:tabs>
                <w:tab w:val="left" w:pos="1350"/>
              </w:tabs>
              <w:snapToGrid w:val="0"/>
              <w:jc w:val="center"/>
              <w:rPr>
                <w:rFonts w:cs="MingLiU"/>
                <w:sz w:val="13"/>
                <w:szCs w:val="13"/>
              </w:rPr>
            </w:pPr>
          </w:p>
        </w:tc>
        <w:tc>
          <w:tcPr>
            <w:tcW w:w="749" w:type="dxa"/>
            <w:tcBorders>
              <w:top w:val="single" w:sz="4" w:space="0" w:color="auto"/>
              <w:left w:val="single" w:sz="4" w:space="0" w:color="auto"/>
              <w:right w:val="single" w:sz="4" w:space="0" w:color="auto"/>
            </w:tcBorders>
            <w:shd w:val="clear" w:color="auto" w:fill="D5DCE4"/>
            <w:vAlign w:val="center"/>
          </w:tcPr>
          <w:p w:rsidR="00824208" w:rsidRDefault="00824208" w:rsidP="00560D89">
            <w:pPr>
              <w:snapToGrid w:val="0"/>
              <w:jc w:val="center"/>
              <w:rPr>
                <w:rFonts w:cs="MingLiU_HKSCS"/>
                <w:color w:val="000000"/>
                <w:kern w:val="0"/>
                <w:sz w:val="13"/>
                <w:szCs w:val="13"/>
                <w:lang w:eastAsia="en-US" w:bidi="en-US"/>
              </w:rPr>
            </w:pPr>
          </w:p>
        </w:tc>
        <w:tc>
          <w:tcPr>
            <w:tcW w:w="1417" w:type="dxa"/>
            <w:tcBorders>
              <w:top w:val="single" w:sz="4" w:space="0" w:color="auto"/>
              <w:left w:val="single" w:sz="4" w:space="0" w:color="auto"/>
              <w:right w:val="single" w:sz="4" w:space="0" w:color="auto"/>
            </w:tcBorders>
            <w:shd w:val="clear" w:color="auto" w:fill="D5DCE4"/>
            <w:vAlign w:val="center"/>
          </w:tcPr>
          <w:p w:rsidR="00824208" w:rsidRDefault="00824208" w:rsidP="00560D89">
            <w:pPr>
              <w:snapToGrid w:val="0"/>
              <w:jc w:val="center"/>
              <w:rPr>
                <w:rFonts w:cs="MingLiU_HKSCS"/>
                <w:color w:val="000000"/>
                <w:kern w:val="0"/>
                <w:sz w:val="13"/>
                <w:szCs w:val="13"/>
                <w:lang w:eastAsia="en-US" w:bidi="en-US"/>
              </w:rPr>
            </w:pP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r>
      <w:tr w:rsidR="00824208" w:rsidTr="00560D89">
        <w:trPr>
          <w:jc w:val="center"/>
        </w:trPr>
        <w:tc>
          <w:tcPr>
            <w:tcW w:w="1271" w:type="dxa"/>
            <w:vMerge/>
            <w:tcBorders>
              <w:left w:val="single" w:sz="4" w:space="0" w:color="auto"/>
            </w:tcBorders>
            <w:shd w:val="clear" w:color="auto" w:fill="D5DCE4"/>
            <w:vAlign w:val="center"/>
          </w:tcPr>
          <w:p w:rsidR="00824208" w:rsidRDefault="00824208" w:rsidP="00560D89">
            <w:pPr>
              <w:snapToGrid w:val="0"/>
              <w:jc w:val="center"/>
              <w:rPr>
                <w:rFonts w:cs="MingLiU_HKSCS"/>
                <w:color w:val="000000"/>
                <w:kern w:val="0"/>
                <w:sz w:val="13"/>
                <w:szCs w:val="13"/>
                <w:lang w:eastAsia="en-US" w:bidi="en-US"/>
              </w:rPr>
            </w:pPr>
          </w:p>
        </w:tc>
        <w:tc>
          <w:tcPr>
            <w:tcW w:w="1276" w:type="dxa"/>
            <w:tcBorders>
              <w:top w:val="single" w:sz="4" w:space="0" w:color="auto"/>
              <w:left w:val="single" w:sz="4" w:space="0" w:color="auto"/>
            </w:tcBorders>
            <w:shd w:val="clear" w:color="auto" w:fill="D5DCE4"/>
            <w:vAlign w:val="center"/>
          </w:tcPr>
          <w:p w:rsidR="00824208" w:rsidRDefault="00824208" w:rsidP="00560D89">
            <w:pPr>
              <w:snapToGrid w:val="0"/>
              <w:jc w:val="center"/>
              <w:rPr>
                <w:rFonts w:cs="MingLiU"/>
                <w:sz w:val="13"/>
                <w:szCs w:val="13"/>
              </w:rPr>
            </w:pPr>
            <w:r w:rsidRPr="008367A7">
              <w:rPr>
                <w:color w:val="000000"/>
                <w:sz w:val="13"/>
                <w:szCs w:val="13"/>
              </w:rPr>
              <w:t>Attack percentage</w:t>
            </w:r>
          </w:p>
        </w:tc>
        <w:tc>
          <w:tcPr>
            <w:tcW w:w="1417" w:type="dxa"/>
            <w:tcBorders>
              <w:top w:val="single" w:sz="4" w:space="0" w:color="auto"/>
              <w:left w:val="single" w:sz="4" w:space="0" w:color="auto"/>
            </w:tcBorders>
            <w:shd w:val="clear" w:color="auto" w:fill="D5DCE4"/>
            <w:vAlign w:val="center"/>
          </w:tcPr>
          <w:p w:rsidR="00824208" w:rsidRDefault="00824208" w:rsidP="00560D89">
            <w:pPr>
              <w:snapToGrid w:val="0"/>
              <w:jc w:val="center"/>
              <w:rPr>
                <w:rFonts w:cs="MingLiU"/>
                <w:sz w:val="13"/>
                <w:szCs w:val="13"/>
              </w:rPr>
            </w:pPr>
            <w:r w:rsidRPr="008367A7">
              <w:rPr>
                <w:color w:val="000000"/>
                <w:sz w:val="13"/>
                <w:szCs w:val="13"/>
              </w:rPr>
              <w:t>Attack percentage</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_HKSCS"/>
                <w:color w:val="000000"/>
                <w:kern w:val="0"/>
                <w:sz w:val="13"/>
                <w:szCs w:val="13"/>
                <w:lang w:eastAsia="en-US" w:bidi="en-US"/>
              </w:rPr>
            </w:pPr>
          </w:p>
        </w:tc>
        <w:tc>
          <w:tcPr>
            <w:tcW w:w="1236" w:type="dxa"/>
            <w:vMerge/>
            <w:tcBorders>
              <w:left w:val="single" w:sz="4" w:space="0" w:color="auto"/>
              <w:right w:val="single" w:sz="4" w:space="0" w:color="auto"/>
            </w:tcBorders>
            <w:shd w:val="clear" w:color="auto" w:fill="D5DCE4"/>
            <w:vAlign w:val="center"/>
          </w:tcPr>
          <w:p w:rsidR="00824208" w:rsidRDefault="00824208" w:rsidP="00560D89">
            <w:pPr>
              <w:snapToGrid w:val="0"/>
              <w:jc w:val="center"/>
              <w:rPr>
                <w:rFonts w:cs="MingLiU_HKSCS"/>
                <w:color w:val="000000"/>
                <w:kern w:val="0"/>
                <w:sz w:val="13"/>
                <w:szCs w:val="13"/>
                <w:lang w:eastAsia="en-US" w:bidi="en-US"/>
              </w:rPr>
            </w:pPr>
          </w:p>
        </w:tc>
        <w:tc>
          <w:tcPr>
            <w:tcW w:w="749" w:type="dxa"/>
            <w:tcBorders>
              <w:top w:val="single" w:sz="4" w:space="0" w:color="auto"/>
              <w:left w:val="single" w:sz="4" w:space="0" w:color="auto"/>
              <w:righ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Life percentage</w:t>
            </w:r>
          </w:p>
        </w:tc>
        <w:tc>
          <w:tcPr>
            <w:tcW w:w="1417" w:type="dxa"/>
            <w:tcBorders>
              <w:top w:val="single" w:sz="4" w:space="0" w:color="auto"/>
              <w:left w:val="single" w:sz="4" w:space="0" w:color="auto"/>
              <w:righ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Life percentage</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r>
      <w:tr w:rsidR="00824208" w:rsidTr="00560D89">
        <w:trPr>
          <w:jc w:val="center"/>
        </w:trPr>
        <w:tc>
          <w:tcPr>
            <w:tcW w:w="1271" w:type="dxa"/>
            <w:vMerge/>
            <w:tcBorders>
              <w:left w:val="single" w:sz="4" w:space="0" w:color="auto"/>
            </w:tcBorders>
            <w:shd w:val="clear" w:color="auto" w:fill="D5DCE4"/>
            <w:vAlign w:val="center"/>
          </w:tcPr>
          <w:p w:rsidR="00824208" w:rsidRDefault="00824208" w:rsidP="00560D89">
            <w:pPr>
              <w:snapToGrid w:val="0"/>
              <w:jc w:val="center"/>
              <w:rPr>
                <w:rFonts w:cs="MingLiU_HKSCS"/>
                <w:color w:val="000000"/>
                <w:kern w:val="0"/>
                <w:sz w:val="13"/>
                <w:szCs w:val="13"/>
                <w:lang w:eastAsia="en-US" w:bidi="en-US"/>
              </w:rPr>
            </w:pPr>
          </w:p>
        </w:tc>
        <w:tc>
          <w:tcPr>
            <w:tcW w:w="1276" w:type="dxa"/>
            <w:tcBorders>
              <w:top w:val="single" w:sz="4" w:space="0" w:color="auto"/>
              <w:lef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24</w:t>
            </w:r>
          </w:p>
        </w:tc>
        <w:tc>
          <w:tcPr>
            <w:tcW w:w="1417" w:type="dxa"/>
            <w:tcBorders>
              <w:top w:val="single" w:sz="4" w:space="0" w:color="auto"/>
              <w:lef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25</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Fine tuning</w:t>
            </w: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_HKSCS"/>
                <w:color w:val="000000"/>
                <w:kern w:val="0"/>
                <w:sz w:val="13"/>
                <w:szCs w:val="13"/>
                <w:lang w:eastAsia="en-US" w:bidi="en-US"/>
              </w:rPr>
            </w:pPr>
          </w:p>
        </w:tc>
        <w:tc>
          <w:tcPr>
            <w:tcW w:w="1236" w:type="dxa"/>
            <w:vMerge/>
            <w:tcBorders>
              <w:left w:val="single" w:sz="4" w:space="0" w:color="auto"/>
              <w:right w:val="single" w:sz="4" w:space="0" w:color="auto"/>
            </w:tcBorders>
            <w:shd w:val="clear" w:color="auto" w:fill="D5DCE4"/>
            <w:vAlign w:val="center"/>
          </w:tcPr>
          <w:p w:rsidR="00824208" w:rsidRDefault="00824208" w:rsidP="00560D89">
            <w:pPr>
              <w:snapToGrid w:val="0"/>
              <w:jc w:val="center"/>
              <w:rPr>
                <w:rFonts w:cs="MingLiU_HKSCS"/>
                <w:color w:val="000000"/>
                <w:kern w:val="0"/>
                <w:sz w:val="13"/>
                <w:szCs w:val="13"/>
                <w:lang w:eastAsia="en-US" w:bidi="en-US"/>
              </w:rPr>
            </w:pPr>
          </w:p>
        </w:tc>
        <w:tc>
          <w:tcPr>
            <w:tcW w:w="749" w:type="dxa"/>
            <w:tcBorders>
              <w:top w:val="single" w:sz="4" w:space="0" w:color="auto"/>
              <w:left w:val="single" w:sz="4" w:space="0" w:color="auto"/>
              <w:righ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16</w:t>
            </w:r>
          </w:p>
        </w:tc>
        <w:tc>
          <w:tcPr>
            <w:tcW w:w="1417" w:type="dxa"/>
            <w:tcBorders>
              <w:top w:val="single" w:sz="4" w:space="0" w:color="auto"/>
              <w:left w:val="single" w:sz="4" w:space="0" w:color="auto"/>
              <w:righ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17</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Fine tuning</w:t>
            </w:r>
          </w:p>
        </w:tc>
      </w:tr>
      <w:tr w:rsidR="00824208" w:rsidTr="00560D89">
        <w:trPr>
          <w:jc w:val="center"/>
        </w:trPr>
        <w:tc>
          <w:tcPr>
            <w:tcW w:w="1271" w:type="dxa"/>
            <w:vMerge w:val="restart"/>
            <w:tcBorders>
              <w:top w:val="single" w:sz="4" w:space="0" w:color="auto"/>
              <w:left w:val="single" w:sz="4" w:space="0" w:color="auto"/>
            </w:tcBorders>
            <w:shd w:val="clear" w:color="auto" w:fill="D5DCE4"/>
            <w:vAlign w:val="center"/>
          </w:tcPr>
          <w:p w:rsidR="00824208" w:rsidRDefault="00824208" w:rsidP="00560D89">
            <w:pPr>
              <w:snapToGrid w:val="0"/>
              <w:jc w:val="center"/>
              <w:rPr>
                <w:rFonts w:cs="MingLiU_HKSCS"/>
                <w:color w:val="000000"/>
                <w:kern w:val="0"/>
                <w:sz w:val="13"/>
                <w:szCs w:val="13"/>
                <w:lang w:eastAsia="en-US" w:bidi="en-US"/>
              </w:rPr>
            </w:pPr>
            <w:r w:rsidRPr="008367A7">
              <w:rPr>
                <w:color w:val="000000"/>
                <w:sz w:val="13"/>
                <w:szCs w:val="13"/>
              </w:rPr>
              <w:t xml:space="preserve">Soul link </w:t>
            </w:r>
            <w:r>
              <w:rPr>
                <w:color w:val="000000"/>
                <w:sz w:val="13"/>
                <w:szCs w:val="13"/>
              </w:rPr>
              <w:t>4</w:t>
            </w:r>
          </w:p>
        </w:tc>
        <w:tc>
          <w:tcPr>
            <w:tcW w:w="1276" w:type="dxa"/>
            <w:tcBorders>
              <w:top w:val="single" w:sz="4" w:space="0" w:color="auto"/>
              <w:left w:val="single" w:sz="4" w:space="0" w:color="auto"/>
            </w:tcBorders>
            <w:shd w:val="clear" w:color="auto" w:fill="D5DCE4"/>
            <w:vAlign w:val="center"/>
          </w:tcPr>
          <w:p w:rsidR="00824208" w:rsidRDefault="00824208" w:rsidP="00560D89">
            <w:pPr>
              <w:snapToGrid w:val="0"/>
              <w:jc w:val="center"/>
              <w:rPr>
                <w:rFonts w:cs="MingLiU"/>
                <w:sz w:val="13"/>
                <w:szCs w:val="13"/>
              </w:rPr>
            </w:pPr>
            <w:r w:rsidRPr="008367A7">
              <w:rPr>
                <w:color w:val="000000"/>
                <w:sz w:val="13"/>
                <w:szCs w:val="13"/>
              </w:rPr>
              <w:t>Satan</w:t>
            </w:r>
          </w:p>
        </w:tc>
        <w:tc>
          <w:tcPr>
            <w:tcW w:w="1417" w:type="dxa"/>
            <w:tcBorders>
              <w:top w:val="single" w:sz="4" w:space="0" w:color="auto"/>
              <w:left w:val="single" w:sz="4" w:space="0" w:color="auto"/>
            </w:tcBorders>
            <w:shd w:val="clear" w:color="auto" w:fill="D5DCE4"/>
            <w:vAlign w:val="center"/>
          </w:tcPr>
          <w:p w:rsidR="00824208" w:rsidRDefault="00824208" w:rsidP="00560D89">
            <w:pPr>
              <w:snapToGrid w:val="0"/>
              <w:jc w:val="center"/>
              <w:rPr>
                <w:rFonts w:cs="MingLiU"/>
                <w:sz w:val="13"/>
                <w:szCs w:val="13"/>
              </w:rPr>
            </w:pPr>
            <w:r w:rsidRPr="008367A7">
              <w:rPr>
                <w:color w:val="000000"/>
                <w:sz w:val="13"/>
                <w:szCs w:val="13"/>
              </w:rPr>
              <w:t>Vices</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No.41 equipment</w:t>
            </w: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_HKSCS"/>
                <w:color w:val="000000"/>
                <w:kern w:val="0"/>
                <w:sz w:val="13"/>
                <w:szCs w:val="13"/>
                <w:lang w:eastAsia="en-US" w:bidi="en-US"/>
              </w:rPr>
            </w:pPr>
          </w:p>
        </w:tc>
        <w:tc>
          <w:tcPr>
            <w:tcW w:w="1236" w:type="dxa"/>
            <w:vMerge w:val="restart"/>
            <w:tcBorders>
              <w:top w:val="single" w:sz="4" w:space="0" w:color="auto"/>
              <w:left w:val="single" w:sz="4" w:space="0" w:color="auto"/>
              <w:right w:val="single" w:sz="4" w:space="0" w:color="auto"/>
            </w:tcBorders>
            <w:shd w:val="clear" w:color="auto" w:fill="D5DCE4"/>
            <w:vAlign w:val="center"/>
          </w:tcPr>
          <w:p w:rsidR="00824208" w:rsidRDefault="00824208" w:rsidP="00560D89">
            <w:pPr>
              <w:tabs>
                <w:tab w:val="left" w:pos="1326"/>
              </w:tabs>
              <w:snapToGrid w:val="0"/>
              <w:jc w:val="center"/>
              <w:rPr>
                <w:rFonts w:cs="MingLiU_HKSCS"/>
                <w:color w:val="000000"/>
                <w:kern w:val="0"/>
                <w:sz w:val="13"/>
                <w:szCs w:val="13"/>
                <w:lang w:eastAsia="en-US" w:bidi="en-US"/>
              </w:rPr>
            </w:pPr>
            <w:r w:rsidRPr="008367A7">
              <w:rPr>
                <w:color w:val="000000"/>
                <w:sz w:val="13"/>
                <w:szCs w:val="13"/>
              </w:rPr>
              <w:t xml:space="preserve">Soul link </w:t>
            </w:r>
            <w:r>
              <w:rPr>
                <w:color w:val="000000"/>
                <w:sz w:val="13"/>
                <w:szCs w:val="13"/>
              </w:rPr>
              <w:t>4</w:t>
            </w:r>
          </w:p>
        </w:tc>
        <w:tc>
          <w:tcPr>
            <w:tcW w:w="749" w:type="dxa"/>
            <w:tcBorders>
              <w:top w:val="single" w:sz="4" w:space="0" w:color="auto"/>
              <w:left w:val="single" w:sz="4" w:space="0" w:color="auto"/>
              <w:right w:val="single" w:sz="4" w:space="0" w:color="auto"/>
            </w:tcBorders>
            <w:shd w:val="clear" w:color="auto" w:fill="D5DCE4"/>
            <w:vAlign w:val="center"/>
          </w:tcPr>
          <w:p w:rsidR="00824208" w:rsidRDefault="00824208" w:rsidP="00560D89">
            <w:pPr>
              <w:snapToGrid w:val="0"/>
              <w:jc w:val="center"/>
              <w:rPr>
                <w:rFonts w:cs="MingLiU"/>
                <w:sz w:val="13"/>
                <w:szCs w:val="13"/>
              </w:rPr>
            </w:pPr>
            <w:r w:rsidRPr="008367A7">
              <w:rPr>
                <w:color w:val="000000"/>
                <w:sz w:val="13"/>
                <w:szCs w:val="13"/>
              </w:rPr>
              <w:t>Nephandus</w:t>
            </w:r>
          </w:p>
        </w:tc>
        <w:tc>
          <w:tcPr>
            <w:tcW w:w="1417" w:type="dxa"/>
            <w:tcBorders>
              <w:top w:val="single" w:sz="4" w:space="0" w:color="auto"/>
              <w:left w:val="single" w:sz="4" w:space="0" w:color="auto"/>
              <w:right w:val="single" w:sz="4" w:space="0" w:color="auto"/>
            </w:tcBorders>
            <w:shd w:val="clear" w:color="auto" w:fill="D5DCE4"/>
            <w:vAlign w:val="center"/>
          </w:tcPr>
          <w:p w:rsidR="00824208" w:rsidRDefault="00824208" w:rsidP="00560D89">
            <w:pPr>
              <w:snapToGrid w:val="0"/>
              <w:jc w:val="center"/>
              <w:rPr>
                <w:rFonts w:cs="MingLiU"/>
                <w:sz w:val="13"/>
                <w:szCs w:val="13"/>
              </w:rPr>
            </w:pPr>
            <w:r w:rsidRPr="008367A7">
              <w:rPr>
                <w:color w:val="000000"/>
                <w:sz w:val="13"/>
                <w:szCs w:val="13"/>
              </w:rPr>
              <w:t>Berseria</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No.46 equipment</w:t>
            </w:r>
          </w:p>
        </w:tc>
      </w:tr>
      <w:tr w:rsidR="00824208" w:rsidTr="00560D89">
        <w:trPr>
          <w:jc w:val="center"/>
        </w:trPr>
        <w:tc>
          <w:tcPr>
            <w:tcW w:w="1271" w:type="dxa"/>
            <w:vMerge/>
            <w:tcBorders>
              <w:left w:val="single" w:sz="4" w:space="0" w:color="auto"/>
            </w:tcBorders>
            <w:shd w:val="clear" w:color="auto" w:fill="D5DCE4"/>
            <w:vAlign w:val="center"/>
          </w:tcPr>
          <w:p w:rsidR="00824208" w:rsidRDefault="00824208" w:rsidP="00560D89">
            <w:pPr>
              <w:snapToGrid w:val="0"/>
              <w:jc w:val="center"/>
              <w:rPr>
                <w:rFonts w:cs="MingLiU"/>
                <w:sz w:val="13"/>
                <w:szCs w:val="13"/>
              </w:rPr>
            </w:pPr>
          </w:p>
        </w:tc>
        <w:tc>
          <w:tcPr>
            <w:tcW w:w="1276" w:type="dxa"/>
            <w:tcBorders>
              <w:top w:val="single" w:sz="4" w:space="0" w:color="auto"/>
              <w:left w:val="single" w:sz="4" w:space="0" w:color="auto"/>
            </w:tcBorders>
            <w:shd w:val="clear" w:color="auto" w:fill="D5DCE4"/>
            <w:vAlign w:val="center"/>
          </w:tcPr>
          <w:p w:rsidR="00824208" w:rsidRDefault="00824208" w:rsidP="00560D89">
            <w:pPr>
              <w:snapToGrid w:val="0"/>
              <w:jc w:val="center"/>
              <w:rPr>
                <w:rFonts w:cs="MingLiU_HKSCS"/>
                <w:color w:val="000000"/>
                <w:kern w:val="0"/>
                <w:sz w:val="13"/>
                <w:szCs w:val="13"/>
                <w:lang w:eastAsia="en-US" w:bidi="en-US"/>
              </w:rPr>
            </w:pPr>
          </w:p>
        </w:tc>
        <w:tc>
          <w:tcPr>
            <w:tcW w:w="1417" w:type="dxa"/>
            <w:tcBorders>
              <w:top w:val="single" w:sz="4" w:space="0" w:color="auto"/>
              <w:left w:val="single" w:sz="4" w:space="0" w:color="auto"/>
            </w:tcBorders>
            <w:shd w:val="clear" w:color="auto" w:fill="D5DCE4"/>
            <w:vAlign w:val="center"/>
          </w:tcPr>
          <w:p w:rsidR="00824208" w:rsidRDefault="00824208" w:rsidP="00560D89">
            <w:pPr>
              <w:snapToGrid w:val="0"/>
              <w:jc w:val="center"/>
              <w:rPr>
                <w:rFonts w:cs="MingLiU_HKSCS"/>
                <w:color w:val="000000"/>
                <w:kern w:val="0"/>
                <w:sz w:val="13"/>
                <w:szCs w:val="13"/>
                <w:lang w:eastAsia="en-US" w:bidi="en-US"/>
              </w:rPr>
            </w:pP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c>
          <w:tcPr>
            <w:tcW w:w="142" w:type="dxa"/>
            <w:tcBorders>
              <w:left w:val="single" w:sz="4" w:space="0" w:color="auto"/>
              <w:right w:val="single" w:sz="4" w:space="0" w:color="auto"/>
            </w:tcBorders>
            <w:shd w:val="clear" w:color="auto" w:fill="auto"/>
          </w:tcPr>
          <w:p w:rsidR="00824208" w:rsidRDefault="00824208" w:rsidP="00560D89">
            <w:pPr>
              <w:tabs>
                <w:tab w:val="left" w:pos="1326"/>
              </w:tabs>
              <w:snapToGrid w:val="0"/>
              <w:jc w:val="center"/>
              <w:rPr>
                <w:rFonts w:cs="MingLiU"/>
                <w:color w:val="000000"/>
                <w:sz w:val="13"/>
                <w:szCs w:val="13"/>
                <w:lang w:val="zh-CN" w:bidi="zh-CN"/>
              </w:rPr>
            </w:pPr>
          </w:p>
        </w:tc>
        <w:tc>
          <w:tcPr>
            <w:tcW w:w="1236" w:type="dxa"/>
            <w:vMerge/>
            <w:tcBorders>
              <w:left w:val="single" w:sz="4" w:space="0" w:color="auto"/>
              <w:right w:val="single" w:sz="4" w:space="0" w:color="auto"/>
            </w:tcBorders>
            <w:shd w:val="clear" w:color="auto" w:fill="D5DCE4"/>
            <w:vAlign w:val="center"/>
          </w:tcPr>
          <w:p w:rsidR="00824208" w:rsidRDefault="00824208" w:rsidP="00560D89">
            <w:pPr>
              <w:tabs>
                <w:tab w:val="left" w:pos="1326"/>
              </w:tabs>
              <w:snapToGrid w:val="0"/>
              <w:jc w:val="center"/>
              <w:rPr>
                <w:rFonts w:cs="MingLiU"/>
                <w:sz w:val="13"/>
                <w:szCs w:val="13"/>
              </w:rPr>
            </w:pPr>
          </w:p>
        </w:tc>
        <w:tc>
          <w:tcPr>
            <w:tcW w:w="749" w:type="dxa"/>
            <w:tcBorders>
              <w:top w:val="single" w:sz="4" w:space="0" w:color="auto"/>
              <w:left w:val="single" w:sz="4" w:space="0" w:color="auto"/>
              <w:right w:val="single" w:sz="4" w:space="0" w:color="auto"/>
            </w:tcBorders>
            <w:shd w:val="clear" w:color="auto" w:fill="D5DCE4"/>
            <w:vAlign w:val="center"/>
          </w:tcPr>
          <w:p w:rsidR="00824208" w:rsidRDefault="00824208" w:rsidP="00560D89">
            <w:pPr>
              <w:snapToGrid w:val="0"/>
              <w:jc w:val="center"/>
              <w:rPr>
                <w:rFonts w:cs="MingLiU"/>
                <w:sz w:val="13"/>
                <w:szCs w:val="13"/>
              </w:rPr>
            </w:pPr>
            <w:r w:rsidRPr="008367A7">
              <w:rPr>
                <w:color w:val="000000"/>
                <w:sz w:val="13"/>
                <w:szCs w:val="13"/>
              </w:rPr>
              <w:t>Crown of Rad Dragon</w:t>
            </w:r>
          </w:p>
        </w:tc>
        <w:tc>
          <w:tcPr>
            <w:tcW w:w="1417" w:type="dxa"/>
            <w:tcBorders>
              <w:top w:val="single" w:sz="4" w:space="0" w:color="auto"/>
              <w:left w:val="single" w:sz="4" w:space="0" w:color="auto"/>
              <w:right w:val="single" w:sz="4" w:space="0" w:color="auto"/>
            </w:tcBorders>
            <w:shd w:val="clear" w:color="auto" w:fill="D5DCE4"/>
            <w:vAlign w:val="center"/>
          </w:tcPr>
          <w:p w:rsidR="00824208" w:rsidRDefault="00824208" w:rsidP="00560D89">
            <w:pPr>
              <w:snapToGrid w:val="0"/>
              <w:jc w:val="center"/>
              <w:rPr>
                <w:rFonts w:cs="MingLiU"/>
                <w:sz w:val="13"/>
                <w:szCs w:val="13"/>
              </w:rPr>
            </w:pPr>
            <w:r w:rsidRPr="008367A7">
              <w:rPr>
                <w:color w:val="000000"/>
                <w:sz w:val="13"/>
                <w:szCs w:val="13"/>
              </w:rPr>
              <w:t>Silk Ribbon for the Corrupt</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No.32 equipment</w:t>
            </w:r>
          </w:p>
        </w:tc>
      </w:tr>
      <w:tr w:rsidR="00824208" w:rsidTr="00560D89">
        <w:trPr>
          <w:jc w:val="center"/>
        </w:trPr>
        <w:tc>
          <w:tcPr>
            <w:tcW w:w="1271" w:type="dxa"/>
            <w:vMerge/>
            <w:tcBorders>
              <w:left w:val="single" w:sz="4" w:space="0" w:color="auto"/>
            </w:tcBorders>
            <w:shd w:val="clear" w:color="auto" w:fill="D5DCE4"/>
            <w:vAlign w:val="center"/>
          </w:tcPr>
          <w:p w:rsidR="00824208" w:rsidRDefault="00824208" w:rsidP="00560D89">
            <w:pPr>
              <w:snapToGrid w:val="0"/>
              <w:jc w:val="center"/>
              <w:rPr>
                <w:rFonts w:cs="MingLiU_HKSCS"/>
                <w:color w:val="000000"/>
                <w:kern w:val="0"/>
                <w:sz w:val="13"/>
                <w:szCs w:val="13"/>
                <w:lang w:eastAsia="en-US" w:bidi="en-US"/>
              </w:rPr>
            </w:pPr>
          </w:p>
        </w:tc>
        <w:tc>
          <w:tcPr>
            <w:tcW w:w="1276" w:type="dxa"/>
            <w:tcBorders>
              <w:top w:val="single" w:sz="4" w:space="0" w:color="auto"/>
              <w:lef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Life percentage</w:t>
            </w:r>
          </w:p>
        </w:tc>
        <w:tc>
          <w:tcPr>
            <w:tcW w:w="1417" w:type="dxa"/>
            <w:tcBorders>
              <w:top w:val="single" w:sz="4" w:space="0" w:color="auto"/>
              <w:lef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Life percentage</w:t>
            </w:r>
          </w:p>
        </w:tc>
        <w:tc>
          <w:tcPr>
            <w:tcW w:w="1134"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_HKSCS"/>
                <w:color w:val="000000"/>
                <w:kern w:val="0"/>
                <w:sz w:val="13"/>
                <w:szCs w:val="13"/>
                <w:lang w:eastAsia="en-US" w:bidi="en-US"/>
              </w:rPr>
            </w:pPr>
          </w:p>
        </w:tc>
        <w:tc>
          <w:tcPr>
            <w:tcW w:w="1236" w:type="dxa"/>
            <w:vMerge/>
            <w:tcBorders>
              <w:left w:val="single" w:sz="4" w:space="0" w:color="auto"/>
              <w:right w:val="single" w:sz="4" w:space="0" w:color="auto"/>
            </w:tcBorders>
            <w:shd w:val="clear" w:color="auto" w:fill="D5DCE4"/>
            <w:vAlign w:val="center"/>
          </w:tcPr>
          <w:p w:rsidR="00824208" w:rsidRDefault="00824208" w:rsidP="00560D89">
            <w:pPr>
              <w:snapToGrid w:val="0"/>
              <w:jc w:val="center"/>
              <w:rPr>
                <w:rFonts w:cs="MingLiU_HKSCS"/>
                <w:color w:val="000000"/>
                <w:kern w:val="0"/>
                <w:sz w:val="13"/>
                <w:szCs w:val="13"/>
                <w:lang w:eastAsia="en-US" w:bidi="en-US"/>
              </w:rPr>
            </w:pPr>
          </w:p>
        </w:tc>
        <w:tc>
          <w:tcPr>
            <w:tcW w:w="749" w:type="dxa"/>
            <w:tcBorders>
              <w:top w:val="single" w:sz="4" w:space="0" w:color="auto"/>
              <w:left w:val="single" w:sz="4" w:space="0" w:color="auto"/>
              <w:righ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Life percentage</w:t>
            </w:r>
          </w:p>
        </w:tc>
        <w:tc>
          <w:tcPr>
            <w:tcW w:w="1417" w:type="dxa"/>
            <w:tcBorders>
              <w:top w:val="single" w:sz="4" w:space="0" w:color="auto"/>
              <w:left w:val="single" w:sz="4" w:space="0" w:color="auto"/>
              <w:righ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Life percentage</w:t>
            </w:r>
          </w:p>
        </w:tc>
        <w:tc>
          <w:tcPr>
            <w:tcW w:w="992" w:type="dxa"/>
            <w:tcBorders>
              <w:top w:val="single" w:sz="4" w:space="0" w:color="auto"/>
              <w:left w:val="single" w:sz="4" w:space="0" w:color="auto"/>
              <w:right w:val="single" w:sz="4" w:space="0" w:color="auto"/>
            </w:tcBorders>
            <w:shd w:val="clear" w:color="auto" w:fill="D8D8D8"/>
            <w:vAlign w:val="center"/>
          </w:tcPr>
          <w:p w:rsidR="00824208" w:rsidRDefault="00824208" w:rsidP="00560D89">
            <w:pPr>
              <w:snapToGrid w:val="0"/>
              <w:jc w:val="center"/>
              <w:rPr>
                <w:rFonts w:cs="MingLiU_HKSCS"/>
                <w:color w:val="000000"/>
                <w:kern w:val="0"/>
                <w:sz w:val="13"/>
                <w:szCs w:val="13"/>
                <w:lang w:eastAsia="en-US" w:bidi="en-US"/>
              </w:rPr>
            </w:pPr>
          </w:p>
        </w:tc>
      </w:tr>
      <w:tr w:rsidR="00824208" w:rsidTr="00560D89">
        <w:trPr>
          <w:jc w:val="center"/>
        </w:trPr>
        <w:tc>
          <w:tcPr>
            <w:tcW w:w="1271" w:type="dxa"/>
            <w:vMerge/>
            <w:tcBorders>
              <w:left w:val="single" w:sz="4" w:space="0" w:color="auto"/>
              <w:bottom w:val="single" w:sz="4" w:space="0" w:color="auto"/>
            </w:tcBorders>
            <w:shd w:val="clear" w:color="auto" w:fill="D5DCE4"/>
            <w:vAlign w:val="center"/>
          </w:tcPr>
          <w:p w:rsidR="00824208" w:rsidRDefault="00824208" w:rsidP="00560D89">
            <w:pPr>
              <w:snapToGrid w:val="0"/>
              <w:jc w:val="center"/>
              <w:rPr>
                <w:rFonts w:cs="MingLiU_HKSCS"/>
                <w:color w:val="000000"/>
                <w:kern w:val="0"/>
                <w:sz w:val="13"/>
                <w:szCs w:val="13"/>
                <w:lang w:eastAsia="en-US" w:bidi="en-US"/>
              </w:rPr>
            </w:pPr>
          </w:p>
        </w:tc>
        <w:tc>
          <w:tcPr>
            <w:tcW w:w="1276" w:type="dxa"/>
            <w:tcBorders>
              <w:top w:val="single" w:sz="4" w:space="0" w:color="auto"/>
              <w:left w:val="single" w:sz="4" w:space="0" w:color="auto"/>
              <w:bottom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16</w:t>
            </w:r>
          </w:p>
        </w:tc>
        <w:tc>
          <w:tcPr>
            <w:tcW w:w="1417" w:type="dxa"/>
            <w:tcBorders>
              <w:top w:val="single" w:sz="4" w:space="0" w:color="auto"/>
              <w:left w:val="single" w:sz="4" w:space="0" w:color="auto"/>
              <w:bottom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16</w:t>
            </w:r>
          </w:p>
        </w:tc>
        <w:tc>
          <w:tcPr>
            <w:tcW w:w="1134" w:type="dxa"/>
            <w:tcBorders>
              <w:top w:val="single" w:sz="4" w:space="0" w:color="auto"/>
              <w:left w:val="single" w:sz="4" w:space="0" w:color="auto"/>
              <w:bottom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Consistent</w:t>
            </w:r>
          </w:p>
        </w:tc>
        <w:tc>
          <w:tcPr>
            <w:tcW w:w="142" w:type="dxa"/>
            <w:tcBorders>
              <w:left w:val="single" w:sz="4" w:space="0" w:color="auto"/>
              <w:right w:val="single" w:sz="4" w:space="0" w:color="auto"/>
            </w:tcBorders>
            <w:shd w:val="clear" w:color="auto" w:fill="auto"/>
          </w:tcPr>
          <w:p w:rsidR="00824208" w:rsidRDefault="00824208" w:rsidP="00560D89">
            <w:pPr>
              <w:snapToGrid w:val="0"/>
              <w:jc w:val="center"/>
              <w:rPr>
                <w:rFonts w:cs="MingLiU_HKSCS"/>
                <w:color w:val="000000"/>
                <w:kern w:val="0"/>
                <w:sz w:val="13"/>
                <w:szCs w:val="13"/>
                <w:lang w:eastAsia="en-US" w:bidi="en-US"/>
              </w:rPr>
            </w:pPr>
          </w:p>
        </w:tc>
        <w:tc>
          <w:tcPr>
            <w:tcW w:w="1236" w:type="dxa"/>
            <w:vMerge/>
            <w:tcBorders>
              <w:left w:val="single" w:sz="4" w:space="0" w:color="auto"/>
              <w:bottom w:val="single" w:sz="4" w:space="0" w:color="auto"/>
              <w:right w:val="single" w:sz="4" w:space="0" w:color="auto"/>
            </w:tcBorders>
            <w:shd w:val="clear" w:color="auto" w:fill="D5DCE4"/>
            <w:vAlign w:val="center"/>
          </w:tcPr>
          <w:p w:rsidR="00824208" w:rsidRDefault="00824208" w:rsidP="00560D89">
            <w:pPr>
              <w:snapToGrid w:val="0"/>
              <w:jc w:val="center"/>
              <w:rPr>
                <w:rFonts w:cs="MingLiU_HKSCS"/>
                <w:color w:val="000000"/>
                <w:kern w:val="0"/>
                <w:sz w:val="13"/>
                <w:szCs w:val="13"/>
                <w:lang w:eastAsia="en-US" w:bidi="en-US"/>
              </w:rPr>
            </w:pPr>
          </w:p>
        </w:tc>
        <w:tc>
          <w:tcPr>
            <w:tcW w:w="749" w:type="dxa"/>
            <w:tcBorders>
              <w:top w:val="single" w:sz="4" w:space="0" w:color="auto"/>
              <w:left w:val="single" w:sz="4" w:space="0" w:color="auto"/>
              <w:bottom w:val="single" w:sz="4" w:space="0" w:color="auto"/>
              <w:right w:val="single" w:sz="4" w:space="0" w:color="auto"/>
            </w:tcBorders>
            <w:shd w:val="clear" w:color="auto" w:fill="D5DCE4"/>
            <w:vAlign w:val="center"/>
          </w:tcPr>
          <w:p w:rsidR="00824208" w:rsidRDefault="00824208" w:rsidP="00560D89">
            <w:pPr>
              <w:snapToGrid w:val="0"/>
              <w:jc w:val="center"/>
              <w:rPr>
                <w:rFonts w:cs="MingLiU"/>
                <w:sz w:val="13"/>
                <w:szCs w:val="13"/>
              </w:rPr>
            </w:pPr>
            <w:r>
              <w:rPr>
                <w:color w:val="000000"/>
                <w:sz w:val="13"/>
                <w:szCs w:val="13"/>
              </w:rPr>
              <w:t>24</w:t>
            </w:r>
          </w:p>
        </w:tc>
        <w:tc>
          <w:tcPr>
            <w:tcW w:w="1417" w:type="dxa"/>
            <w:tcBorders>
              <w:top w:val="single" w:sz="4" w:space="0" w:color="auto"/>
              <w:left w:val="single" w:sz="4" w:space="0" w:color="auto"/>
              <w:bottom w:val="single" w:sz="4" w:space="0" w:color="auto"/>
              <w:right w:val="single" w:sz="4" w:space="0" w:color="auto"/>
            </w:tcBorders>
            <w:shd w:val="clear" w:color="auto" w:fill="D5DCE4"/>
            <w:vAlign w:val="center"/>
          </w:tcPr>
          <w:p w:rsidR="00824208" w:rsidRDefault="00824208" w:rsidP="00560D89">
            <w:pPr>
              <w:snapToGrid w:val="0"/>
              <w:jc w:val="center"/>
              <w:rPr>
                <w:rFonts w:cs="MingLiU"/>
                <w:sz w:val="13"/>
                <w:szCs w:val="13"/>
              </w:rPr>
            </w:pPr>
            <w:r>
              <w:rPr>
                <w:i/>
                <w:iCs/>
                <w:color w:val="000000"/>
                <w:sz w:val="13"/>
                <w:szCs w:val="13"/>
              </w:rPr>
              <w:t>25</w:t>
            </w:r>
          </w:p>
        </w:tc>
        <w:tc>
          <w:tcPr>
            <w:tcW w:w="992" w:type="dxa"/>
            <w:tcBorders>
              <w:top w:val="single" w:sz="4" w:space="0" w:color="auto"/>
              <w:left w:val="single" w:sz="4" w:space="0" w:color="auto"/>
              <w:bottom w:val="single" w:sz="4" w:space="0" w:color="auto"/>
              <w:right w:val="single" w:sz="4" w:space="0" w:color="auto"/>
            </w:tcBorders>
            <w:shd w:val="clear" w:color="auto" w:fill="D8D8D8"/>
            <w:vAlign w:val="center"/>
          </w:tcPr>
          <w:p w:rsidR="00824208" w:rsidRDefault="00824208" w:rsidP="00560D89">
            <w:pPr>
              <w:snapToGrid w:val="0"/>
              <w:jc w:val="center"/>
              <w:rPr>
                <w:rFonts w:cs="MingLiU"/>
                <w:sz w:val="13"/>
                <w:szCs w:val="13"/>
              </w:rPr>
            </w:pPr>
            <w:r>
              <w:rPr>
                <w:color w:val="5A5A5A"/>
                <w:sz w:val="13"/>
                <w:szCs w:val="13"/>
              </w:rPr>
              <w:t>Fine tuning</w:t>
            </w:r>
          </w:p>
        </w:tc>
      </w:tr>
    </w:tbl>
    <w:p w:rsidR="00824208" w:rsidRPr="005A1DD1" w:rsidRDefault="00824208" w:rsidP="00824208">
      <w:pPr>
        <w:spacing w:line="312" w:lineRule="auto"/>
        <w:rPr>
          <w:b/>
          <w:bCs/>
          <w:color w:val="336600"/>
          <w:kern w:val="0"/>
          <w:sz w:val="28"/>
          <w:szCs w:val="28"/>
        </w:rPr>
      </w:pPr>
    </w:p>
    <w:p w:rsidR="00824208" w:rsidRPr="005A1DD1" w:rsidRDefault="00824208" w:rsidP="00824208">
      <w:pPr>
        <w:adjustRightInd w:val="0"/>
        <w:snapToGrid w:val="0"/>
        <w:spacing w:line="312" w:lineRule="auto"/>
        <w:rPr>
          <w:rFonts w:eastAsia="黑体"/>
          <w:sz w:val="28"/>
          <w:szCs w:val="28"/>
        </w:rPr>
      </w:pPr>
      <w:r w:rsidRPr="005A1DD1">
        <w:rPr>
          <w:sz w:val="28"/>
          <w:szCs w:val="28"/>
        </w:rPr>
        <w:br w:type="page"/>
      </w:r>
      <w:r w:rsidRPr="005A1DD1">
        <w:rPr>
          <w:sz w:val="28"/>
          <w:szCs w:val="28"/>
        </w:rPr>
        <w:lastRenderedPageBreak/>
        <w:t xml:space="preserve">2. </w:t>
      </w:r>
      <w:r w:rsidRPr="00570B22">
        <w:rPr>
          <w:sz w:val="28"/>
          <w:szCs w:val="28"/>
        </w:rPr>
        <w:t>A case involving the determination of copyright infringement for making a Suzhou Embroidery work based on a painting</w:t>
      </w:r>
    </w:p>
    <w:p w:rsidR="00824208" w:rsidRPr="005A1DD1" w:rsidRDefault="00824208" w:rsidP="00824208">
      <w:pPr>
        <w:adjustRightInd w:val="0"/>
        <w:snapToGrid w:val="0"/>
        <w:spacing w:line="312" w:lineRule="auto"/>
        <w:rPr>
          <w:rFonts w:eastAsia="仿宋_GB2312"/>
          <w:sz w:val="28"/>
          <w:szCs w:val="28"/>
        </w:rPr>
      </w:pPr>
      <w:r w:rsidRPr="005A1DD1">
        <w:rPr>
          <w:sz w:val="28"/>
          <w:szCs w:val="28"/>
        </w:rPr>
        <w:t>—Cao Xinhua vs. Pu Fengjuan: Case of Dispute over Copyright Infringement</w:t>
      </w:r>
    </w:p>
    <w:p w:rsidR="00824208" w:rsidRPr="005A1DD1" w:rsidRDefault="00824208" w:rsidP="00824208">
      <w:pPr>
        <w:adjustRightInd w:val="0"/>
        <w:snapToGrid w:val="0"/>
        <w:spacing w:line="312" w:lineRule="auto"/>
        <w:ind w:firstLineChars="200" w:firstLine="560"/>
        <w:rPr>
          <w:rFonts w:eastAsia="仿宋_GB2312"/>
          <w:sz w:val="28"/>
          <w:szCs w:val="28"/>
        </w:rPr>
      </w:pP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[Case Information]</w:t>
      </w:r>
    </w:p>
    <w:p w:rsidR="00824208" w:rsidRPr="005A1DD1" w:rsidRDefault="00824208" w:rsidP="00824208">
      <w:pPr>
        <w:adjustRightInd w:val="0"/>
        <w:snapToGrid w:val="0"/>
        <w:spacing w:line="312" w:lineRule="auto"/>
        <w:ind w:leftChars="267" w:left="2241" w:hangingChars="600" w:hanging="1680"/>
        <w:rPr>
          <w:rFonts w:eastAsia="仿宋_GB2312"/>
          <w:sz w:val="28"/>
          <w:szCs w:val="28"/>
        </w:rPr>
      </w:pPr>
      <w:r w:rsidRPr="005A1DD1">
        <w:rPr>
          <w:sz w:val="28"/>
          <w:szCs w:val="28"/>
        </w:rPr>
        <w:t>Case No.:</w:t>
      </w:r>
      <w:r>
        <w:rPr>
          <w:sz w:val="28"/>
          <w:szCs w:val="28"/>
        </w:rPr>
        <w:tab/>
      </w:r>
      <w:r w:rsidRPr="005A1DD1">
        <w:rPr>
          <w:sz w:val="28"/>
          <w:szCs w:val="28"/>
        </w:rPr>
        <w:t>Suzhou Intermediate People's Court (2018) S. 05 M.C. No. 557</w:t>
      </w:r>
    </w:p>
    <w:p w:rsidR="00824208" w:rsidRPr="005A1DD1" w:rsidRDefault="00824208" w:rsidP="00824208">
      <w:pPr>
        <w:adjustRightInd w:val="0"/>
        <w:snapToGrid w:val="0"/>
        <w:spacing w:line="312" w:lineRule="auto"/>
        <w:ind w:leftChars="932" w:left="1957" w:firstLine="284"/>
        <w:rPr>
          <w:rFonts w:eastAsia="仿宋_GB2312"/>
          <w:sz w:val="28"/>
          <w:szCs w:val="28"/>
        </w:rPr>
      </w:pPr>
      <w:r w:rsidRPr="005A1DD1">
        <w:rPr>
          <w:sz w:val="28"/>
          <w:szCs w:val="28"/>
        </w:rPr>
        <w:t>Jiangsu High People</w:t>
      </w:r>
      <w:r>
        <w:rPr>
          <w:sz w:val="28"/>
          <w:szCs w:val="28"/>
        </w:rPr>
        <w:t>'</w:t>
      </w:r>
      <w:r w:rsidRPr="005A1DD1">
        <w:rPr>
          <w:sz w:val="28"/>
          <w:szCs w:val="28"/>
        </w:rPr>
        <w:t>s Court (2019) S.M.Z. No. 1410</w:t>
      </w:r>
    </w:p>
    <w:p w:rsidR="00824208" w:rsidRPr="005A1DD1" w:rsidRDefault="00824208" w:rsidP="00824208">
      <w:pPr>
        <w:adjustRightInd w:val="0"/>
        <w:snapToGrid w:val="0"/>
        <w:spacing w:line="312" w:lineRule="auto"/>
        <w:ind w:leftChars="267" w:left="2241" w:hangingChars="600" w:hanging="1680"/>
        <w:rPr>
          <w:rFonts w:eastAsia="仿宋_GB2312"/>
          <w:sz w:val="28"/>
          <w:szCs w:val="28"/>
        </w:rPr>
      </w:pPr>
      <w:r w:rsidRPr="005A1DD1">
        <w:rPr>
          <w:sz w:val="28"/>
          <w:szCs w:val="28"/>
        </w:rPr>
        <w:t>Plaintiff:</w:t>
      </w:r>
      <w:r>
        <w:rPr>
          <w:sz w:val="28"/>
          <w:szCs w:val="28"/>
        </w:rPr>
        <w:tab/>
      </w:r>
      <w:r w:rsidRPr="005A1DD1">
        <w:rPr>
          <w:sz w:val="28"/>
          <w:szCs w:val="28"/>
        </w:rPr>
        <w:t>Cao Xinhua</w:t>
      </w:r>
    </w:p>
    <w:p w:rsidR="00824208" w:rsidRPr="005A1DD1" w:rsidRDefault="00824208" w:rsidP="00824208">
      <w:pPr>
        <w:adjustRightInd w:val="0"/>
        <w:snapToGrid w:val="0"/>
        <w:spacing w:line="312" w:lineRule="auto"/>
        <w:ind w:leftChars="267" w:left="2241" w:hangingChars="600" w:hanging="1680"/>
        <w:rPr>
          <w:rFonts w:eastAsia="仿宋_GB2312"/>
          <w:sz w:val="28"/>
          <w:szCs w:val="28"/>
        </w:rPr>
      </w:pPr>
      <w:r w:rsidRPr="005A1DD1">
        <w:rPr>
          <w:sz w:val="28"/>
          <w:szCs w:val="28"/>
        </w:rPr>
        <w:t>Defendant:</w:t>
      </w:r>
      <w:r>
        <w:rPr>
          <w:sz w:val="28"/>
          <w:szCs w:val="28"/>
        </w:rPr>
        <w:tab/>
      </w:r>
      <w:r w:rsidRPr="005A1DD1">
        <w:rPr>
          <w:sz w:val="28"/>
          <w:szCs w:val="28"/>
        </w:rPr>
        <w:t>Pu Fengjuan</w:t>
      </w:r>
    </w:p>
    <w:p w:rsidR="00824208" w:rsidRPr="005A1DD1" w:rsidRDefault="00824208" w:rsidP="00824208">
      <w:pPr>
        <w:adjustRightInd w:val="0"/>
        <w:snapToGrid w:val="0"/>
        <w:spacing w:line="312" w:lineRule="auto"/>
        <w:ind w:leftChars="267" w:left="2241" w:hangingChars="600" w:hanging="1680"/>
        <w:rPr>
          <w:rFonts w:eastAsia="仿宋_GB2312"/>
          <w:sz w:val="28"/>
          <w:szCs w:val="28"/>
        </w:rPr>
      </w:pPr>
      <w:r w:rsidRPr="005A1DD1">
        <w:rPr>
          <w:sz w:val="28"/>
          <w:szCs w:val="28"/>
        </w:rPr>
        <w:t>Third Party:</w:t>
      </w:r>
      <w:r>
        <w:rPr>
          <w:sz w:val="28"/>
          <w:szCs w:val="28"/>
        </w:rPr>
        <w:tab/>
      </w:r>
      <w:r w:rsidRPr="005A1DD1">
        <w:rPr>
          <w:sz w:val="28"/>
          <w:szCs w:val="28"/>
        </w:rPr>
        <w:t>Wang Xinhe</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[Adjudication Gist]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1.Suzhou Embroidery and painting are two different forms of artistic presentation in different fields and with different carriers. Suzhou Embroidery is the synthesis of skills in multiple aspects such as draft sketch, pattern, shape, stitch, artistry, color, craftsmanship, and mounting. A Suzhou Embroidery work relies on a painting as the basis, but it has formed a new expression after an embroiderer changes the shape, color, stitch and other content, which isartistic recreation. It is essentially the adaptation of a painting, and using the painting as the basis without </w:t>
      </w:r>
      <w:r>
        <w:rPr>
          <w:sz w:val="28"/>
          <w:szCs w:val="28"/>
        </w:rPr>
        <w:t>permission</w:t>
      </w:r>
      <w:r w:rsidRPr="005A1DD1">
        <w:rPr>
          <w:sz w:val="28"/>
          <w:szCs w:val="28"/>
        </w:rPr>
        <w:t xml:space="preserve"> infringes upon the adaptation right, rather than the reproduction right, of the painting's author.</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2. After the adapter adds a certain extent of specific expression elements, way of expression, and expression </w:t>
      </w:r>
      <w:r>
        <w:rPr>
          <w:sz w:val="28"/>
          <w:szCs w:val="28"/>
        </w:rPr>
        <w:t>effect</w:t>
      </w:r>
      <w:r w:rsidRPr="005A1DD1">
        <w:rPr>
          <w:sz w:val="28"/>
          <w:szCs w:val="28"/>
        </w:rPr>
        <w:t xml:space="preserve"> which are distinct from a prior work and are original, the impression that the adapted work leaves to the general public is neither completely identical with the prior work, nor "reproduced" completely or basically from the prior work even if there is still "substantial similarity" between the adapted work and the prior one.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3. Suzhou Embroidery is an intangible cultural heritage of China. The making of a Suzhou Embroidery work, upon creative labor of an embroiderer, is also the formation of a new work that is significantly distinctive from the </w:t>
      </w:r>
      <w:r w:rsidRPr="005A1DD1">
        <w:rPr>
          <w:sz w:val="28"/>
          <w:szCs w:val="28"/>
        </w:rPr>
        <w:lastRenderedPageBreak/>
        <w:t xml:space="preserve">painting and </w:t>
      </w:r>
      <w:r>
        <w:rPr>
          <w:sz w:val="28"/>
          <w:szCs w:val="28"/>
        </w:rPr>
        <w:t xml:space="preserve">is </w:t>
      </w:r>
      <w:r w:rsidRPr="005A1DD1">
        <w:rPr>
          <w:sz w:val="28"/>
          <w:szCs w:val="28"/>
        </w:rPr>
        <w:t xml:space="preserve">original in terms of expression media, way of expression, and expression </w:t>
      </w:r>
      <w:r>
        <w:rPr>
          <w:sz w:val="28"/>
          <w:szCs w:val="28"/>
        </w:rPr>
        <w:t>effect</w:t>
      </w:r>
      <w:r w:rsidRPr="005A1DD1">
        <w:rPr>
          <w:sz w:val="28"/>
          <w:szCs w:val="28"/>
        </w:rPr>
        <w:t xml:space="preserve"> and that has independent copyright and shall be protected under the copyright law, even if the embroidery work has infringed upon the adaptation right of the painting's author.</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[Case Description]</w:t>
      </w:r>
    </w:p>
    <w:p w:rsidR="00824208" w:rsidRPr="00A473C5" w:rsidRDefault="00824208" w:rsidP="00824208">
      <w:pPr>
        <w:adjustRightInd w:val="0"/>
        <w:snapToGrid w:val="0"/>
        <w:spacing w:line="312" w:lineRule="auto"/>
        <w:ind w:firstLineChars="200" w:firstLine="560"/>
        <w:rPr>
          <w:rFonts w:eastAsia="仿宋_GB2312"/>
          <w:sz w:val="28"/>
          <w:szCs w:val="28"/>
        </w:rPr>
      </w:pPr>
      <w:r w:rsidRPr="00A473C5">
        <w:rPr>
          <w:sz w:val="28"/>
          <w:szCs w:val="28"/>
        </w:rPr>
        <w:t xml:space="preserve">Cao Xuefeng, a pseudonym of Cao Xinhua, has won multiple awards in the exhibitions of fine art at home and abroad. In June 2005, Cao Xinhua published the Art Book of Cao Xuefeng through Beijing Arts and Crafts Publishing House. The art book collected multiple landscape paintings and </w:t>
      </w:r>
      <w:r>
        <w:rPr>
          <w:sz w:val="28"/>
          <w:szCs w:val="28"/>
        </w:rPr>
        <w:t>e</w:t>
      </w:r>
      <w:r w:rsidRPr="00A473C5">
        <w:rPr>
          <w:sz w:val="28"/>
          <w:szCs w:val="28"/>
        </w:rPr>
        <w:t>laborate-style paintings of Cao Xinhua, including a</w:t>
      </w:r>
      <w:r>
        <w:rPr>
          <w:sz w:val="28"/>
          <w:szCs w:val="28"/>
        </w:rPr>
        <w:t>ne</w:t>
      </w:r>
      <w:r w:rsidRPr="00A473C5">
        <w:rPr>
          <w:sz w:val="28"/>
          <w:szCs w:val="28"/>
        </w:rPr>
        <w:t>laborate-style painting titled The Bathing Beauty in the Huaqing Palace (the "Painting Work"). Pu Fengjuan operates Pu Feng Juan Embroidery Art Studio at Zhenhu Subdistrict, Gaoxin District and Guangfu Town, Wuzhong District, Suzhou City, China. Pu Fengjuan made a 140cm x 360cm Suzhou Embroidery version of the Painting Work, also titled The Bathing Beauty in the Huaqing Palace (the "Embroidery Work"). The Suzhou Embroidery Work was covered in a report of Sohu News. Pu Fengjuan said in the publicity of her studio that her 70cm x 170cm one-side fine flat Embroidery Work had won a gold award. She told Wang Xinghong, the attorney of Cao Xinhua, that she sold a Suzhou Embroidery Work to Beijing Qi'aoHongda Decoration Co., Ltd. (hereinafter referred to as "Qi'ao Company”) at the price of more than RMB 800,000. Subsequently, Wang Xinghong requested Pu Fengjuan to quote prices for such Embroidery Work during their chat on WeChat. In her reply, Pu Fengjuan quoted RMB 1.7 million for a 140cm x 360cm work and RMB 860,000 for a 70cm x 170cm work.</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Pu Fengjuan said that a silk thread can be divided into "fluff, filament, and fur". </w:t>
      </w:r>
      <w:r>
        <w:rPr>
          <w:sz w:val="28"/>
          <w:szCs w:val="28"/>
        </w:rPr>
        <w:t>One</w:t>
      </w:r>
      <w:r w:rsidRPr="005A1DD1">
        <w:rPr>
          <w:sz w:val="28"/>
          <w:szCs w:val="28"/>
        </w:rPr>
        <w:t xml:space="preserve"> silk thread is equal to </w:t>
      </w:r>
      <w:r>
        <w:rPr>
          <w:sz w:val="28"/>
          <w:szCs w:val="28"/>
        </w:rPr>
        <w:t>two</w:t>
      </w:r>
      <w:r w:rsidRPr="005A1DD1">
        <w:rPr>
          <w:sz w:val="28"/>
          <w:szCs w:val="28"/>
        </w:rPr>
        <w:t xml:space="preserve"> fluffs, </w:t>
      </w:r>
      <w:r>
        <w:rPr>
          <w:sz w:val="28"/>
          <w:szCs w:val="28"/>
        </w:rPr>
        <w:t>one</w:t>
      </w:r>
      <w:r w:rsidRPr="005A1DD1">
        <w:rPr>
          <w:sz w:val="28"/>
          <w:szCs w:val="28"/>
        </w:rPr>
        <w:t xml:space="preserve"> fluff to </w:t>
      </w:r>
      <w:r>
        <w:rPr>
          <w:sz w:val="28"/>
          <w:szCs w:val="28"/>
        </w:rPr>
        <w:t>eight</w:t>
      </w:r>
      <w:r w:rsidRPr="005A1DD1">
        <w:rPr>
          <w:sz w:val="28"/>
          <w:szCs w:val="28"/>
        </w:rPr>
        <w:t xml:space="preserve"> filaments, and </w:t>
      </w:r>
      <w:r>
        <w:rPr>
          <w:sz w:val="28"/>
          <w:szCs w:val="28"/>
        </w:rPr>
        <w:t>one</w:t>
      </w:r>
      <w:r w:rsidRPr="005A1DD1">
        <w:rPr>
          <w:sz w:val="28"/>
          <w:szCs w:val="28"/>
        </w:rPr>
        <w:t xml:space="preserve"> filament to 22 furs. The finest silk thread can be divided into 352 furs. According to a rough estimate, an Embroidery Work needs more than 20 colors including red, orange, yellow, green, indigo, blue and violet, and each color includes a dozen of variants ranging from light to dark.</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lastRenderedPageBreak/>
        <w:t xml:space="preserve">After that, Cao Xinhua filed a lawsuit with </w:t>
      </w:r>
      <w:r>
        <w:rPr>
          <w:sz w:val="28"/>
          <w:szCs w:val="28"/>
        </w:rPr>
        <w:t>the</w:t>
      </w:r>
      <w:r w:rsidRPr="005A1DD1">
        <w:rPr>
          <w:sz w:val="28"/>
          <w:szCs w:val="28"/>
        </w:rPr>
        <w:t xml:space="preserve"> court against Pu Fengjuan for her infringement upon his painting, requiring her to bear legal liability such as ceasing infringement and compensation for loss.</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[Decision of the Court]</w:t>
      </w:r>
    </w:p>
    <w:p w:rsidR="00824208" w:rsidRPr="005A1DD1" w:rsidRDefault="00824208" w:rsidP="00824208">
      <w:pPr>
        <w:adjustRightInd w:val="0"/>
        <w:snapToGrid w:val="0"/>
        <w:spacing w:line="312" w:lineRule="auto"/>
        <w:ind w:firstLineChars="200" w:firstLine="560"/>
        <w:rPr>
          <w:rFonts w:eastAsia="仿宋_GB2312"/>
          <w:sz w:val="28"/>
          <w:szCs w:val="28"/>
        </w:rPr>
      </w:pPr>
      <w:r>
        <w:rPr>
          <w:sz w:val="28"/>
          <w:szCs w:val="28"/>
        </w:rPr>
        <w:t xml:space="preserve">The </w:t>
      </w:r>
      <w:r w:rsidRPr="005A1DD1">
        <w:rPr>
          <w:sz w:val="28"/>
          <w:szCs w:val="28"/>
        </w:rPr>
        <w:t>Suzhou Intermediate People's Court</w:t>
      </w:r>
      <w:r>
        <w:rPr>
          <w:sz w:val="28"/>
          <w:szCs w:val="28"/>
        </w:rPr>
        <w:t xml:space="preserve">, as the court </w:t>
      </w:r>
      <w:r w:rsidRPr="005A1DD1">
        <w:rPr>
          <w:sz w:val="28"/>
          <w:szCs w:val="28"/>
        </w:rPr>
        <w:t>of first instance</w:t>
      </w:r>
      <w:r>
        <w:rPr>
          <w:sz w:val="28"/>
          <w:szCs w:val="28"/>
        </w:rPr>
        <w:t>, found</w:t>
      </w:r>
      <w:r w:rsidRPr="005A1DD1">
        <w:rPr>
          <w:sz w:val="28"/>
          <w:szCs w:val="28"/>
        </w:rPr>
        <w:t xml:space="preserve"> that: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1. Pu Fengjuan's act of making Suzhou Embroidery works infringes</w:t>
      </w:r>
      <w:r>
        <w:rPr>
          <w:sz w:val="28"/>
          <w:szCs w:val="28"/>
        </w:rPr>
        <w:t xml:space="preserve"> upon</w:t>
      </w:r>
      <w:r w:rsidRPr="005A1DD1">
        <w:rPr>
          <w:sz w:val="28"/>
          <w:szCs w:val="28"/>
        </w:rPr>
        <w:t xml:space="preserve"> Cao Xinhua's adaption right of his Painting Work. The adaption right is a right </w:t>
      </w:r>
      <w:r>
        <w:rPr>
          <w:sz w:val="28"/>
          <w:szCs w:val="28"/>
        </w:rPr>
        <w:t>that</w:t>
      </w:r>
      <w:r w:rsidRPr="005A1DD1">
        <w:rPr>
          <w:sz w:val="28"/>
          <w:szCs w:val="28"/>
        </w:rPr>
        <w:t xml:space="preserve"> alter</w:t>
      </w:r>
      <w:r>
        <w:rPr>
          <w:sz w:val="28"/>
          <w:szCs w:val="28"/>
        </w:rPr>
        <w:t>s</w:t>
      </w:r>
      <w:r w:rsidRPr="005A1DD1">
        <w:rPr>
          <w:sz w:val="28"/>
          <w:szCs w:val="28"/>
        </w:rPr>
        <w:t xml:space="preserve"> a work </w:t>
      </w:r>
      <w:r>
        <w:rPr>
          <w:sz w:val="28"/>
          <w:szCs w:val="28"/>
        </w:rPr>
        <w:t>and</w:t>
      </w:r>
      <w:r w:rsidRPr="005A1DD1">
        <w:rPr>
          <w:sz w:val="28"/>
          <w:szCs w:val="28"/>
        </w:rPr>
        <w:t xml:space="preserve"> create</w:t>
      </w:r>
      <w:r>
        <w:rPr>
          <w:sz w:val="28"/>
          <w:szCs w:val="28"/>
        </w:rPr>
        <w:t>s</w:t>
      </w:r>
      <w:r w:rsidRPr="005A1DD1">
        <w:rPr>
          <w:sz w:val="28"/>
          <w:szCs w:val="28"/>
        </w:rPr>
        <w:t xml:space="preserve"> an original work. Suzhou Embroidery is the synthesis of skills in multiple aspects such as draft sketch, pattern, shape, stitch, artistry, color, craftsmanship, and mounting. Suzhou Embroidery and painting are two different forms of artistic presentation in different fields and with different carriers. Although some Suzhou Embroidery works take paintings as the basis, but they turned into a new expression form of works after adaptation of embroidery threads and layers. Pu Fengjuan made a Suzhou Embroidery work based on a painting, which is an act of artistic recreation. It is essentially an act of adapting the Painting Work, rather than infringing upon Cao Xinhua's reproduction right of the work involved in this case.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Pu Fengjuan used multiple kinds of silk threads and various stitches to make a Suzhou Embroidery work. Although the theme came from the Painting Work, the Suzhou Embroidery work is significantly distinctive from the painting, which reflects the originality of the embroidery work. On the one hand, not all colors in the painting are suitable for the Suzhou Embroidery work because the embroidery work has much richer colors than the painting. Taking the ink-wash color of the hair of figures in the painting as an example, a Suzhou Embroidery work needs </w:t>
      </w:r>
      <w:r>
        <w:rPr>
          <w:sz w:val="28"/>
          <w:szCs w:val="28"/>
        </w:rPr>
        <w:t>five</w:t>
      </w:r>
      <w:r w:rsidRPr="005A1DD1">
        <w:rPr>
          <w:sz w:val="28"/>
          <w:szCs w:val="28"/>
        </w:rPr>
        <w:t xml:space="preserve"> sets of color threads, i.e., black, brown, steel gray, yellow gray, and green gray, and each color has 18 variants from light to dark, which enables the natural color transition of the hair in different angles of light, and the nature patterns and textures of the hair. On the other hand, whether a flower or cloth is embroidered, the embroiderer needs to study the use of different threads on the </w:t>
      </w:r>
      <w:r w:rsidRPr="005A1DD1">
        <w:rPr>
          <w:sz w:val="28"/>
          <w:szCs w:val="28"/>
        </w:rPr>
        <w:lastRenderedPageBreak/>
        <w:t>basis of color matching, and then designs the direction of thread configuration, to embody living flowers, flowing clothes, and silk texture of fabrics by means of rich colors and flexible stitches. This requires the creativ</w:t>
      </w:r>
      <w:r>
        <w:rPr>
          <w:sz w:val="28"/>
          <w:szCs w:val="28"/>
        </w:rPr>
        <w:t>e work</w:t>
      </w:r>
      <w:r w:rsidRPr="005A1DD1">
        <w:rPr>
          <w:sz w:val="28"/>
          <w:szCs w:val="28"/>
        </w:rPr>
        <w:t xml:space="preserve"> of an embroiderer. Pu Fengjuan adapted the Painting Work for a Suzhou Embroidery work without prior consent of Cao Xinhua, and used the adapted work for business practices for commercial purpose without paying any remuneration to Cao Xinhua, which infringed upon Cao Xinhua's adaptation right of the Painting Work.</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2. Cao Xinhua's claim for destruction of the alleged Embroidery Work is denied. Pu Fengjuan is entitled to the copyright of her own Embroidery Works. Although the works infringe upon Cao Xinhua's adaptation right of the Painting Work, no infringer is required by law to destroy their works that infringe upon others' adaptation right.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3. Pu Fengjuan shall bear legal liability for ceasing the infringement, removing adverse impact, and compensating for </w:t>
      </w:r>
      <w:r>
        <w:rPr>
          <w:sz w:val="28"/>
          <w:szCs w:val="28"/>
        </w:rPr>
        <w:t>the</w:t>
      </w:r>
      <w:r w:rsidRPr="005A1DD1">
        <w:rPr>
          <w:sz w:val="28"/>
          <w:szCs w:val="28"/>
        </w:rPr>
        <w:t xml:space="preserve"> loss</w:t>
      </w:r>
      <w:r>
        <w:rPr>
          <w:sz w:val="28"/>
          <w:szCs w:val="28"/>
        </w:rPr>
        <w:t xml:space="preserve"> resulting therefrom</w:t>
      </w:r>
      <w:r w:rsidRPr="005A1DD1">
        <w:rPr>
          <w:sz w:val="28"/>
          <w:szCs w:val="28"/>
        </w:rPr>
        <w:t>. Based on the quote for the 70cm</w:t>
      </w:r>
      <w:r>
        <w:rPr>
          <w:sz w:val="28"/>
          <w:szCs w:val="28"/>
        </w:rPr>
        <w:t xml:space="preserve"> x </w:t>
      </w:r>
      <w:r w:rsidRPr="005A1DD1">
        <w:rPr>
          <w:sz w:val="28"/>
          <w:szCs w:val="28"/>
        </w:rPr>
        <w:t xml:space="preserve">170cm Embroidery Work and other factors, the court of first instance ordered Pu Fengjuan to immediately cease the </w:t>
      </w:r>
      <w:r>
        <w:rPr>
          <w:sz w:val="28"/>
          <w:szCs w:val="28"/>
        </w:rPr>
        <w:t xml:space="preserve">act of </w:t>
      </w:r>
      <w:r w:rsidRPr="005A1DD1">
        <w:rPr>
          <w:sz w:val="28"/>
          <w:szCs w:val="28"/>
        </w:rPr>
        <w:t>infringement, compensate Cao Xinhua for an economic loss of RMB 220,000, and remove adverse impact by extending a formal apology on the Legal Daily for her infringing act involved in this case.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After the judgment of first instance</w:t>
      </w:r>
      <w:r>
        <w:rPr>
          <w:sz w:val="28"/>
          <w:szCs w:val="28"/>
        </w:rPr>
        <w:t xml:space="preserve"> was pronounced</w:t>
      </w:r>
      <w:r w:rsidRPr="005A1DD1">
        <w:rPr>
          <w:sz w:val="28"/>
          <w:szCs w:val="28"/>
        </w:rPr>
        <w:t>, Pu Fengjuan appealed to the Jiangsu High People's Court.</w:t>
      </w:r>
    </w:p>
    <w:p w:rsidR="00824208" w:rsidRPr="005A1DD1" w:rsidRDefault="00824208" w:rsidP="00824208">
      <w:pPr>
        <w:adjustRightInd w:val="0"/>
        <w:snapToGrid w:val="0"/>
        <w:spacing w:line="312" w:lineRule="auto"/>
        <w:ind w:firstLineChars="200" w:firstLine="560"/>
        <w:rPr>
          <w:rFonts w:eastAsia="仿宋_GB2312"/>
          <w:sz w:val="28"/>
          <w:szCs w:val="28"/>
        </w:rPr>
      </w:pPr>
      <w:r>
        <w:rPr>
          <w:sz w:val="28"/>
          <w:szCs w:val="28"/>
        </w:rPr>
        <w:t>T</w:t>
      </w:r>
      <w:r w:rsidRPr="005A1DD1">
        <w:rPr>
          <w:sz w:val="28"/>
          <w:szCs w:val="28"/>
        </w:rPr>
        <w:t>he Jiangsu High People</w:t>
      </w:r>
      <w:r>
        <w:rPr>
          <w:sz w:val="28"/>
          <w:szCs w:val="28"/>
        </w:rPr>
        <w:t>'</w:t>
      </w:r>
      <w:r w:rsidRPr="005A1DD1">
        <w:rPr>
          <w:sz w:val="28"/>
          <w:szCs w:val="28"/>
        </w:rPr>
        <w:t>s Court</w:t>
      </w:r>
      <w:r>
        <w:rPr>
          <w:sz w:val="28"/>
          <w:szCs w:val="28"/>
        </w:rPr>
        <w:t>, as the court of second instance, found that</w:t>
      </w:r>
      <w:r w:rsidRPr="005A1DD1">
        <w:rPr>
          <w:sz w:val="28"/>
          <w:szCs w:val="28"/>
        </w:rPr>
        <w: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1. Based on the existing evidence, it may be found that Pu Fengjuan made and sold a 70cm</w:t>
      </w:r>
      <w:r>
        <w:rPr>
          <w:sz w:val="28"/>
          <w:szCs w:val="28"/>
        </w:rPr>
        <w:t xml:space="preserve"> x </w:t>
      </w:r>
      <w:r w:rsidRPr="005A1DD1">
        <w:rPr>
          <w:sz w:val="28"/>
          <w:szCs w:val="28"/>
        </w:rPr>
        <w:t>170cm Embroidery Work. Pu Fengjuan said that she made a 70cm</w:t>
      </w:r>
      <w:r>
        <w:rPr>
          <w:sz w:val="28"/>
          <w:szCs w:val="28"/>
        </w:rPr>
        <w:t xml:space="preserve"> x </w:t>
      </w:r>
      <w:r w:rsidRPr="005A1DD1">
        <w:rPr>
          <w:sz w:val="28"/>
          <w:szCs w:val="28"/>
        </w:rPr>
        <w:t xml:space="preserve">170cm Embroidery Work and sold it to Shi Tingting from Qi'ao Company at the price of RMB 800,000, </w:t>
      </w:r>
      <w:r>
        <w:rPr>
          <w:sz w:val="28"/>
          <w:szCs w:val="28"/>
        </w:rPr>
        <w:t xml:space="preserve">and the statement </w:t>
      </w:r>
      <w:r w:rsidRPr="005A1DD1">
        <w:rPr>
          <w:sz w:val="28"/>
          <w:szCs w:val="28"/>
        </w:rPr>
        <w:t>is specific and express. Moreover, the quote for a 70cm</w:t>
      </w:r>
      <w:r>
        <w:rPr>
          <w:sz w:val="28"/>
          <w:szCs w:val="28"/>
        </w:rPr>
        <w:t xml:space="preserve"> x </w:t>
      </w:r>
      <w:r w:rsidRPr="005A1DD1">
        <w:rPr>
          <w:sz w:val="28"/>
          <w:szCs w:val="28"/>
        </w:rPr>
        <w:t xml:space="preserve">170cm Embroidery Work made by Pu Fengjuan during the chat on WeChat was RMB 860,000, which can be </w:t>
      </w:r>
      <w:r w:rsidRPr="005A1DD1">
        <w:rPr>
          <w:sz w:val="28"/>
          <w:szCs w:val="28"/>
        </w:rPr>
        <w:lastRenderedPageBreak/>
        <w:t>corroborated by the previously stated selling price of RMB 800,000. In addition, Pu Fengjuan also publicized her 70cm</w:t>
      </w:r>
      <w:r>
        <w:rPr>
          <w:sz w:val="28"/>
          <w:szCs w:val="28"/>
        </w:rPr>
        <w:t xml:space="preserve"> x </w:t>
      </w:r>
      <w:r w:rsidRPr="005A1DD1">
        <w:rPr>
          <w:sz w:val="28"/>
          <w:szCs w:val="28"/>
        </w:rPr>
        <w:t>170cm Embroidery Work winning a gold award in her own brochures. Therefore, in the absence of any evidence to the contrary submitted by Pu Fengjuan, the finding made by the court of first instance in accordance with the rules of evidence that Pu Fengjuan made and sold a 70cm</w:t>
      </w:r>
      <w:r>
        <w:rPr>
          <w:sz w:val="28"/>
          <w:szCs w:val="28"/>
        </w:rPr>
        <w:t xml:space="preserve"> x </w:t>
      </w:r>
      <w:r w:rsidRPr="005A1DD1">
        <w:rPr>
          <w:sz w:val="28"/>
          <w:szCs w:val="28"/>
        </w:rPr>
        <w:t>170cm Embroidery Work has corresponding factual and legal basis.</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2. The damages decided by the court of first instance are appropriate. First, although the making of a Suzhou Embroidery work needs the recreation labor of an embroiderer, the content of the work, namely, the choice of a painting as the basis, still has a great impact on the final embroidery work. Choosing a painting suitable for embroidery is a precondition for a high-quality embroidery work. Therefore, Cao Xinhua's creation of the Painting Work had an impact on the quality and selling price of the Embroidery Work to a certain extent. Second, in the case involving Wang Xinhe tried by the Henan High People's Court, it is found that only the publicity of Wang Xinhe involved a 140cm</w:t>
      </w:r>
      <w:r>
        <w:rPr>
          <w:sz w:val="28"/>
          <w:szCs w:val="28"/>
        </w:rPr>
        <w:t xml:space="preserve"> x </w:t>
      </w:r>
      <w:r w:rsidRPr="005A1DD1">
        <w:rPr>
          <w:sz w:val="28"/>
          <w:szCs w:val="28"/>
        </w:rPr>
        <w:t>360cm Embroidery Work. After the first instance of this case, Pu Fengjuan was entrusted to make the Embroidery Work, and there is no evidence of whether the 140cm</w:t>
      </w:r>
      <w:r>
        <w:rPr>
          <w:sz w:val="28"/>
          <w:szCs w:val="28"/>
        </w:rPr>
        <w:t xml:space="preserve"> x </w:t>
      </w:r>
      <w:r w:rsidRPr="005A1DD1">
        <w:rPr>
          <w:sz w:val="28"/>
          <w:szCs w:val="28"/>
        </w:rPr>
        <w:t>360cm Embroidery Work has been sold or what is the specific selling price of the Embroidery Work. Therefore, the damage award in the judgment is not directly relevant to the damage award in this case. Taking into account factors such as Cao Xinhua's popularity in the painting industry, Pu Fengjuan's popularity in the embroidery industry, the artistic attainments and market popularity of the Painting Work, the degree of originality of the Embroidery Work involved in this case, the artistic modification made in the creation of the Embroidery Work, and the productive protection of intangible cultural heritage, the court of first instance decided based on the actual situation that Pu Fengjuan shall pay RMB 220,000 to Cao Xinhua for economic loss and reasonable expenses. The decision is appropriate.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In addition, with respect to whether Pu Fengjuan has infringed upon the </w:t>
      </w:r>
      <w:r w:rsidRPr="005A1DD1">
        <w:rPr>
          <w:sz w:val="28"/>
          <w:szCs w:val="28"/>
        </w:rPr>
        <w:lastRenderedPageBreak/>
        <w:t>adaptation right, the court of second instance holds that the adaptation right means the right of a copyright owner of an artistic work to form a new original expression through a certain intellectual work on the basis of relying on, citing, or retaining the existing basic expression of the work. In relation to the act of infringing upon the adaptation right, after the adapter adds a certain extent of specific expression elements, way of expression, and expression result which are distinct from a prior work and are original, the impression that the adapted work leaves to the general public is neither completely identical with the prior work, nor "reproduced" completely or basically from the prior work even if there is still "substantial similarity" between the adapted work and the prior one. In this case, the Painting Work of which Cao Xinhua owns the copyright is a</w:t>
      </w:r>
      <w:r>
        <w:rPr>
          <w:sz w:val="28"/>
          <w:szCs w:val="28"/>
        </w:rPr>
        <w:t>ne</w:t>
      </w:r>
      <w:r w:rsidRPr="005A1DD1">
        <w:rPr>
          <w:sz w:val="28"/>
          <w:szCs w:val="28"/>
        </w:rPr>
        <w:t>laborate-style painting, but the alleged infringing work is an Embroidery Work. Although the theme of the latter comes from the former and the two works have the same expression elements such as structure, figure, and color when facing the audience, the two works are different in the following aspects: their expressions are not completely the same in terms of field, type, and carrier, and their basic materials, basic skills, basic methods and others adopted during their creation are obviously different, and they leave different artistic impressions to the audience. Based on the Painting Work, Pu Fengjuan paid intellectual efforts in shape, stitch, artistry, color, craftsmanship, mounting, and other aspects based on the product characteristics and process requirements by adopting multiple sets of threads in different colors, and flexible and various stitches, which forms an original Embroidery Work that is significantly distinctive from the Painting Work and original in terms of expression media, expression method, and expression result. It is an act of artistic recreation</w:t>
      </w:r>
      <w:r>
        <w:rPr>
          <w:sz w:val="28"/>
          <w:szCs w:val="28"/>
        </w:rPr>
        <w:t>,</w:t>
      </w:r>
      <w:r w:rsidRPr="005A1DD1">
        <w:rPr>
          <w:sz w:val="28"/>
          <w:szCs w:val="28"/>
        </w:rPr>
        <w:t xml:space="preserve"> and also an adaptation of the Painting Work. Pu Fengjuan's act of adapting the Painting Work for an Embroidery Work without obtaining the permission of Cao Xinhua infringes upon the adaptation right Cao Xinhua is entitled to in accordance with law. Therefore, Pu Fengjuan shall bear the corresponding legal liability.</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lastRenderedPageBreak/>
        <w:t>In view of the above, the court of second instance affirmed the judgment of first instance.</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[Typical Significance]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This is a case involving an IP dispute over the finding of an infringement of a Suzhou Embroidery work as an intangible cultural heritage. The judgment clarifies the relationship between an embroidery work and a painting used as the basis for the embroidery work, and gives consideration to the interests of both the embroiderer and the painting's author. While protecting the painting copyright, it also fully recognizes and safeguards the efforts paid by an embroiderer in the recreation of the embroidery work, and specifies the rules for embroiderers to use the painting, which is conducive to further promoting the healthy development of the traditional embroidery culture and the embroidery industry. The judgment </w:t>
      </w:r>
      <w:r>
        <w:rPr>
          <w:sz w:val="28"/>
          <w:szCs w:val="28"/>
        </w:rPr>
        <w:t>clarifies that</w:t>
      </w:r>
      <w:r w:rsidRPr="005A1DD1">
        <w:rPr>
          <w:sz w:val="28"/>
          <w:szCs w:val="28"/>
        </w:rPr>
        <w: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(a) An embroiderer is entitled to the copyright of his or her own embroidery work</w:t>
      </w:r>
      <w:r>
        <w:rPr>
          <w:sz w:val="28"/>
          <w:szCs w:val="28"/>
        </w:rPr>
        <w:t>s</w:t>
      </w:r>
      <w:r w:rsidRPr="005A1DD1">
        <w:rPr>
          <w:sz w:val="28"/>
          <w:szCs w:val="28"/>
        </w:rPr>
        <w:t xml:space="preserve">. Before the trial of this case, whether an embroidery work </w:t>
      </w:r>
      <w:r>
        <w:rPr>
          <w:sz w:val="28"/>
          <w:szCs w:val="28"/>
        </w:rPr>
        <w:t xml:space="preserve">that is embroidered based on a painting without the painter's consentinvolves </w:t>
      </w:r>
      <w:r w:rsidRPr="005A1DD1">
        <w:rPr>
          <w:sz w:val="28"/>
          <w:szCs w:val="28"/>
        </w:rPr>
        <w:t xml:space="preserve">copyright has been controversial. The judgment clearly states that Suzhou Embroidery and painting are two different forms of artistic presentation in different fields and with different carriers. Suzhou Embroidery is the synthesis of skills in multiple aspects such as draft sketch, pattern, shape, stitch, artistry, color, craftsmanship, and mounting. A Suzhou Embroidery work relies on a painting as the basis, but it has formed a new expression after an embroiderer changes the shape, color, stitch and other content, which is artistic recreation, thereby forming a new work (i.e. the embroidery work) that is significantly distinctive from the painting and is original in terms of expression media, expression method, and expression result. Therefore, an embroidery work shall have independent copyright and </w:t>
      </w:r>
      <w:r>
        <w:rPr>
          <w:sz w:val="28"/>
          <w:szCs w:val="28"/>
        </w:rPr>
        <w:t xml:space="preserve">shall </w:t>
      </w:r>
      <w:r w:rsidRPr="005A1DD1">
        <w:rPr>
          <w:sz w:val="28"/>
          <w:szCs w:val="28"/>
        </w:rPr>
        <w:t xml:space="preserve">be protected </w:t>
      </w:r>
      <w:r>
        <w:rPr>
          <w:sz w:val="28"/>
          <w:szCs w:val="28"/>
        </w:rPr>
        <w:t>by</w:t>
      </w:r>
      <w:r w:rsidRPr="005A1DD1">
        <w:rPr>
          <w:sz w:val="28"/>
          <w:szCs w:val="28"/>
        </w:rPr>
        <w:t xml:space="preserve"> the copyright law.</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(b) An embroiderer's act of making a Suzhou Embroidery work without the con</w:t>
      </w:r>
      <w:r>
        <w:rPr>
          <w:sz w:val="28"/>
          <w:szCs w:val="28"/>
        </w:rPr>
        <w:t>s</w:t>
      </w:r>
      <w:r w:rsidRPr="005A1DD1">
        <w:rPr>
          <w:sz w:val="28"/>
          <w:szCs w:val="28"/>
        </w:rPr>
        <w:t xml:space="preserve">ent of the painting's author infringes upon the adaptation right. The judgment specifies that the making of a Suzhou Embroidery work based on a </w:t>
      </w:r>
      <w:r w:rsidRPr="005A1DD1">
        <w:rPr>
          <w:sz w:val="28"/>
          <w:szCs w:val="28"/>
        </w:rPr>
        <w:lastRenderedPageBreak/>
        <w:t>painting is an act of artistic recreation and essentially an act of adapting the painting work, which constitutes an infringement upon the adaptation right rather than the reproduction right. The judgment of second instance also points out that, after the adapter adds a certain extent of specific expression elements, way</w:t>
      </w:r>
      <w:r>
        <w:rPr>
          <w:sz w:val="28"/>
          <w:szCs w:val="28"/>
        </w:rPr>
        <w:t>s</w:t>
      </w:r>
      <w:r w:rsidRPr="005A1DD1">
        <w:rPr>
          <w:sz w:val="28"/>
          <w:szCs w:val="28"/>
        </w:rPr>
        <w:t xml:space="preserve"> of expression</w:t>
      </w:r>
      <w:r>
        <w:rPr>
          <w:sz w:val="28"/>
          <w:szCs w:val="28"/>
        </w:rPr>
        <w:t>,</w:t>
      </w:r>
      <w:r w:rsidRPr="005A1DD1">
        <w:rPr>
          <w:sz w:val="28"/>
          <w:szCs w:val="28"/>
        </w:rPr>
        <w:t xml:space="preserve"> and expression </w:t>
      </w:r>
      <w:r>
        <w:rPr>
          <w:sz w:val="28"/>
          <w:szCs w:val="28"/>
        </w:rPr>
        <w:t>effects</w:t>
      </w:r>
      <w:r w:rsidRPr="005A1DD1">
        <w:rPr>
          <w:sz w:val="28"/>
          <w:szCs w:val="28"/>
        </w:rPr>
        <w:t xml:space="preserve"> which are distinct from a prior work and are original, the impression that the adapted work leaves to the general public is neither completely identical with the prior work, nor </w:t>
      </w:r>
      <w:r>
        <w:rPr>
          <w:sz w:val="28"/>
          <w:szCs w:val="28"/>
        </w:rPr>
        <w:t xml:space="preserve">a </w:t>
      </w:r>
      <w:r w:rsidRPr="005A1DD1">
        <w:rPr>
          <w:sz w:val="28"/>
          <w:szCs w:val="28"/>
        </w:rPr>
        <w:t xml:space="preserve">"reproduced" </w:t>
      </w:r>
      <w:r>
        <w:rPr>
          <w:sz w:val="28"/>
          <w:szCs w:val="28"/>
        </w:rPr>
        <w:t xml:space="preserve">work </w:t>
      </w:r>
      <w:r w:rsidRPr="005A1DD1">
        <w:rPr>
          <w:sz w:val="28"/>
          <w:szCs w:val="28"/>
        </w:rPr>
        <w:t xml:space="preserve">completely or basically </w:t>
      </w:r>
      <w:r>
        <w:rPr>
          <w:sz w:val="28"/>
          <w:szCs w:val="28"/>
        </w:rPr>
        <w:t xml:space="preserve">the same as </w:t>
      </w:r>
      <w:r w:rsidRPr="005A1DD1">
        <w:rPr>
          <w:sz w:val="28"/>
          <w:szCs w:val="28"/>
        </w:rPr>
        <w:t>the prior work even if there is still "substantial similarity" between the adapted work and the prior one.</w:t>
      </w:r>
    </w:p>
    <w:p w:rsidR="00824208" w:rsidRDefault="00824208" w:rsidP="00824208">
      <w:pPr>
        <w:adjustRightInd w:val="0"/>
        <w:snapToGrid w:val="0"/>
        <w:spacing w:line="312" w:lineRule="auto"/>
        <w:ind w:firstLineChars="200" w:firstLine="560"/>
        <w:rPr>
          <w:sz w:val="28"/>
          <w:szCs w:val="28"/>
        </w:rPr>
      </w:pPr>
      <w:r w:rsidRPr="005A1DD1">
        <w:rPr>
          <w:sz w:val="28"/>
          <w:szCs w:val="28"/>
        </w:rPr>
        <w:t xml:space="preserve">(c) The damage award shall be determined based on the value contribution of the painting work to the embroidery work and </w:t>
      </w:r>
      <w:r>
        <w:rPr>
          <w:sz w:val="28"/>
          <w:szCs w:val="28"/>
        </w:rPr>
        <w:t>by reference to</w:t>
      </w:r>
      <w:r w:rsidRPr="005A1DD1">
        <w:rPr>
          <w:sz w:val="28"/>
          <w:szCs w:val="28"/>
        </w:rPr>
        <w:t xml:space="preserve"> other factors. This case provides practical experience in the determination of the value proportion of the painting work in the embroidery work for the trial of similar cases. The court is of the following opinion: Due to the specificity in the making of an embroidery work, there is a huge price difference </w:t>
      </w:r>
      <w:r>
        <w:rPr>
          <w:sz w:val="28"/>
          <w:szCs w:val="28"/>
        </w:rPr>
        <w:t>between</w:t>
      </w:r>
      <w:r w:rsidRPr="005A1DD1">
        <w:rPr>
          <w:sz w:val="28"/>
          <w:szCs w:val="28"/>
        </w:rPr>
        <w:t xml:space="preserve"> an embroidery work made by an embroidery master or </w:t>
      </w:r>
      <w:r>
        <w:rPr>
          <w:sz w:val="28"/>
          <w:szCs w:val="28"/>
        </w:rPr>
        <w:t xml:space="preserve">that by </w:t>
      </w:r>
      <w:r w:rsidRPr="005A1DD1">
        <w:rPr>
          <w:sz w:val="28"/>
          <w:szCs w:val="28"/>
        </w:rPr>
        <w:t>an ordinary embroiderer, and the value of an embroidery work depends on the contributions of the original painting and the recreation by the embroiderer. Therefore, when considering the damage award, the court shall take into account factors such as a painter's popularity in the painting sector, an embroiderer's popularity in the embroidery industry, the artistic attainments and market popularity of the painting work, the degree of originality of the embroidery work involved in this case, the artistic efforts made in the creation of the embroidery work, and the productive protection of intangible cultural heritage.</w:t>
      </w:r>
    </w:p>
    <w:p w:rsidR="003931BD" w:rsidRDefault="00071DCC" w:rsidP="00071DCC">
      <w:pPr>
        <w:widowControl/>
        <w:jc w:val="left"/>
        <w:rPr>
          <w:sz w:val="28"/>
          <w:szCs w:val="28"/>
        </w:rPr>
      </w:pPr>
      <w:r>
        <w:rPr>
          <w:sz w:val="28"/>
          <w:szCs w:val="28"/>
        </w:rPr>
        <w:br w:type="page"/>
      </w:r>
    </w:p>
    <w:p w:rsidR="00071DCC" w:rsidRPr="00F13510" w:rsidRDefault="00071DCC" w:rsidP="00071DCC">
      <w:pPr>
        <w:widowControl/>
        <w:jc w:val="left"/>
        <w:rPr>
          <w:rFonts w:ascii="仿宋_GB2312" w:eastAsia="仿宋_GB2312" w:hAnsi="Calibri"/>
          <w:b/>
          <w:sz w:val="32"/>
          <w:szCs w:val="32"/>
        </w:rPr>
      </w:pPr>
      <w:r w:rsidRPr="00A473C5">
        <w:rPr>
          <w:sz w:val="28"/>
          <w:szCs w:val="28"/>
        </w:rPr>
        <w:t xml:space="preserve">Painting </w:t>
      </w:r>
    </w:p>
    <w:p w:rsidR="00071DCC" w:rsidRPr="00D92AF6" w:rsidRDefault="008E3AEC" w:rsidP="00071DCC">
      <w:pPr>
        <w:rPr>
          <w:rFonts w:ascii="Calibri" w:hAnsi="Calibri"/>
          <w:szCs w:val="22"/>
        </w:rPr>
      </w:pPr>
      <w:r w:rsidRPr="008906E9">
        <w:rPr>
          <w:rFonts w:ascii="Calibri" w:hAnsi="Calibri"/>
          <w:noProof/>
          <w:szCs w:val="22"/>
        </w:rPr>
        <w:pict>
          <v:shape id="_x0000_i1060" type="#_x0000_t75" alt="说明: D:\用户目录\我的文档\Downloads\caoxinhua2 (1).JPG" style="width:416.1pt;height:163.65pt;visibility:visible;mso-wrap-style:square">
            <v:imagedata r:id="rId20" o:title="caoxinhua2 (1)"/>
          </v:shape>
        </w:pict>
      </w:r>
    </w:p>
    <w:p w:rsidR="00071DCC" w:rsidRDefault="00071DCC" w:rsidP="00071DCC">
      <w:pPr>
        <w:rPr>
          <w:rFonts w:ascii="仿宋_GB2312" w:eastAsia="仿宋_GB2312" w:hAnsi="Calibri"/>
          <w:b/>
          <w:sz w:val="32"/>
          <w:szCs w:val="32"/>
        </w:rPr>
      </w:pPr>
    </w:p>
    <w:p w:rsidR="00071DCC" w:rsidRDefault="00071DCC" w:rsidP="00071DCC">
      <w:pPr>
        <w:rPr>
          <w:rFonts w:ascii="仿宋_GB2312" w:eastAsia="仿宋_GB2312" w:hAnsi="Calibri"/>
          <w:b/>
          <w:sz w:val="32"/>
          <w:szCs w:val="32"/>
        </w:rPr>
      </w:pPr>
    </w:p>
    <w:p w:rsidR="00071DCC" w:rsidRDefault="00071DCC" w:rsidP="00071DCC">
      <w:pPr>
        <w:rPr>
          <w:rFonts w:ascii="仿宋_GB2312" w:eastAsia="仿宋_GB2312" w:hAnsi="Calibri"/>
          <w:b/>
          <w:sz w:val="32"/>
          <w:szCs w:val="32"/>
        </w:rPr>
      </w:pPr>
      <w:r w:rsidRPr="00A473C5">
        <w:rPr>
          <w:sz w:val="28"/>
          <w:szCs w:val="28"/>
        </w:rPr>
        <w:t xml:space="preserve">Embroidery </w:t>
      </w:r>
    </w:p>
    <w:p w:rsidR="00071DCC" w:rsidRPr="00D92AF6" w:rsidRDefault="008906E9" w:rsidP="00071DCC">
      <w:pPr>
        <w:rPr>
          <w:rFonts w:ascii="仿宋_GB2312" w:eastAsia="仿宋_GB2312" w:hAnsi="Calibri"/>
          <w:b/>
          <w:sz w:val="32"/>
          <w:szCs w:val="32"/>
        </w:rPr>
      </w:pPr>
      <w:r w:rsidRPr="008906E9">
        <w:rPr>
          <w:noProof/>
        </w:rPr>
        <w:pict>
          <v:shape id="_x0000_s1081" type="#_x0000_t75" style="position:absolute;left:0;text-align:left;margin-left:.1pt;margin-top:2.55pt;width:414.85pt;height:175.05pt;z-index:251658240;visibility:visible">
            <v:imagedata r:id="rId21" o:title=""/>
          </v:shape>
        </w:pict>
      </w:r>
    </w:p>
    <w:p w:rsidR="00071DCC" w:rsidRPr="00D92AF6" w:rsidRDefault="00071DCC" w:rsidP="00071DCC">
      <w:pPr>
        <w:rPr>
          <w:rFonts w:ascii="Calibri" w:hAnsi="Calibri"/>
          <w:szCs w:val="22"/>
        </w:rPr>
      </w:pPr>
    </w:p>
    <w:p w:rsidR="00071DCC" w:rsidRDefault="00071DCC" w:rsidP="00071DCC">
      <w:pPr>
        <w:spacing w:line="560" w:lineRule="exact"/>
        <w:rPr>
          <w:rFonts w:ascii="仿宋_GB2312" w:eastAsia="仿宋_GB2312"/>
          <w:sz w:val="32"/>
          <w:szCs w:val="32"/>
        </w:rPr>
      </w:pPr>
    </w:p>
    <w:p w:rsidR="00071DCC" w:rsidRDefault="00071DCC" w:rsidP="00071DCC">
      <w:pPr>
        <w:snapToGrid w:val="0"/>
        <w:spacing w:line="317" w:lineRule="auto"/>
        <w:jc w:val="left"/>
        <w:rPr>
          <w:rFonts w:ascii="仿宋_GB2312" w:eastAsia="仿宋_GB2312" w:hAnsi="宋体"/>
          <w:sz w:val="32"/>
          <w:szCs w:val="32"/>
        </w:rPr>
      </w:pPr>
    </w:p>
    <w:p w:rsidR="00071DCC" w:rsidRPr="003368BF" w:rsidRDefault="00071DCC" w:rsidP="00071DCC">
      <w:pPr>
        <w:adjustRightInd w:val="0"/>
        <w:snapToGrid w:val="0"/>
        <w:spacing w:line="520" w:lineRule="exact"/>
        <w:ind w:firstLineChars="200" w:firstLine="600"/>
        <w:rPr>
          <w:rFonts w:ascii="楷体" w:eastAsia="楷体" w:hAnsi="楷体"/>
          <w:sz w:val="30"/>
          <w:szCs w:val="30"/>
        </w:rPr>
      </w:pPr>
    </w:p>
    <w:p w:rsidR="00071DCC" w:rsidRPr="00071DCC" w:rsidRDefault="00071DCC" w:rsidP="00071DCC">
      <w:pPr>
        <w:adjustRightInd w:val="0"/>
        <w:snapToGrid w:val="0"/>
        <w:spacing w:line="312" w:lineRule="auto"/>
        <w:rPr>
          <w:rFonts w:eastAsia="仿宋_GB2312"/>
          <w:sz w:val="28"/>
          <w:szCs w:val="28"/>
        </w:rPr>
      </w:pPr>
    </w:p>
    <w:p w:rsidR="00824208" w:rsidRPr="005A1DD1" w:rsidRDefault="00824208" w:rsidP="00824208">
      <w:pPr>
        <w:adjustRightInd w:val="0"/>
        <w:snapToGrid w:val="0"/>
        <w:spacing w:line="312" w:lineRule="auto"/>
        <w:rPr>
          <w:rFonts w:eastAsia="黑体"/>
          <w:sz w:val="28"/>
          <w:szCs w:val="28"/>
        </w:rPr>
      </w:pPr>
      <w:r w:rsidRPr="005A1DD1">
        <w:rPr>
          <w:sz w:val="28"/>
          <w:szCs w:val="28"/>
        </w:rPr>
        <w:br w:type="page"/>
      </w:r>
      <w:r w:rsidRPr="005A1DD1">
        <w:rPr>
          <w:sz w:val="28"/>
          <w:szCs w:val="28"/>
        </w:rPr>
        <w:lastRenderedPageBreak/>
        <w:t xml:space="preserve">3. </w:t>
      </w:r>
      <w:r w:rsidRPr="00570B22">
        <w:rPr>
          <w:sz w:val="28"/>
          <w:szCs w:val="28"/>
        </w:rPr>
        <w:t>A case involving the determination of Baidu Netdisk's infringement on the right of information dissemination through network</w:t>
      </w:r>
    </w:p>
    <w:p w:rsidR="00824208" w:rsidRPr="005A1DD1" w:rsidRDefault="00824208" w:rsidP="00824208">
      <w:pPr>
        <w:adjustRightInd w:val="0"/>
        <w:snapToGrid w:val="0"/>
        <w:spacing w:line="312" w:lineRule="auto"/>
        <w:rPr>
          <w:rFonts w:eastAsia="仿宋_GB2312"/>
          <w:sz w:val="28"/>
          <w:szCs w:val="28"/>
        </w:rPr>
      </w:pPr>
      <w:r w:rsidRPr="005A1DD1">
        <w:rPr>
          <w:sz w:val="28"/>
          <w:szCs w:val="28"/>
        </w:rPr>
        <w:t>—</w:t>
      </w:r>
      <w:r w:rsidRPr="00570B22">
        <w:rPr>
          <w:sz w:val="28"/>
          <w:szCs w:val="28"/>
        </w:rPr>
        <w:t>Nanjing Branch of Beijing Spot Interaction Information Service Co., Ltd. v. Beijing Baidu Netcom Science and Technology Co., Ltd.: Case of Dispute over Infringement on the Right of Information Dissemination through Network</w:t>
      </w:r>
    </w:p>
    <w:p w:rsidR="00824208" w:rsidRPr="005A1DD1" w:rsidRDefault="00824208" w:rsidP="00824208">
      <w:pPr>
        <w:adjustRightInd w:val="0"/>
        <w:snapToGrid w:val="0"/>
        <w:spacing w:line="312" w:lineRule="auto"/>
        <w:ind w:firstLineChars="200" w:firstLine="560"/>
        <w:rPr>
          <w:rFonts w:eastAsia="仿宋_GB2312"/>
          <w:sz w:val="28"/>
          <w:szCs w:val="28"/>
        </w:rPr>
      </w:pP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[Case Information]</w:t>
      </w:r>
    </w:p>
    <w:p w:rsidR="00824208" w:rsidRPr="005A1DD1" w:rsidRDefault="00824208" w:rsidP="00824208">
      <w:pPr>
        <w:adjustRightInd w:val="0"/>
        <w:snapToGrid w:val="0"/>
        <w:spacing w:line="312" w:lineRule="auto"/>
        <w:ind w:leftChars="267" w:left="2241" w:hangingChars="600" w:hanging="1680"/>
        <w:rPr>
          <w:rFonts w:eastAsia="仿宋_GB2312"/>
          <w:sz w:val="28"/>
          <w:szCs w:val="28"/>
        </w:rPr>
      </w:pPr>
      <w:r w:rsidRPr="005A1DD1">
        <w:rPr>
          <w:sz w:val="28"/>
          <w:szCs w:val="28"/>
        </w:rPr>
        <w:t>Case No.:</w:t>
      </w:r>
      <w:r>
        <w:rPr>
          <w:sz w:val="28"/>
          <w:szCs w:val="28"/>
        </w:rPr>
        <w:tab/>
      </w:r>
      <w:r w:rsidRPr="005A1DD1">
        <w:rPr>
          <w:sz w:val="28"/>
          <w:szCs w:val="28"/>
        </w:rPr>
        <w:t>Nanjing Intermediate People's Court (2017) S. 01 M.C. No. 2340</w:t>
      </w:r>
    </w:p>
    <w:p w:rsidR="00824208" w:rsidRPr="005A1DD1" w:rsidRDefault="00824208" w:rsidP="00824208">
      <w:pPr>
        <w:adjustRightInd w:val="0"/>
        <w:snapToGrid w:val="0"/>
        <w:spacing w:line="312" w:lineRule="auto"/>
        <w:ind w:left="841" w:firstLineChars="500" w:firstLine="1400"/>
        <w:rPr>
          <w:rFonts w:eastAsia="仿宋_GB2312"/>
          <w:sz w:val="28"/>
          <w:szCs w:val="28"/>
        </w:rPr>
      </w:pPr>
      <w:r w:rsidRPr="005A1DD1">
        <w:rPr>
          <w:sz w:val="28"/>
          <w:szCs w:val="28"/>
        </w:rPr>
        <w:t>Jiangsu High People</w:t>
      </w:r>
      <w:r>
        <w:rPr>
          <w:sz w:val="28"/>
          <w:szCs w:val="28"/>
        </w:rPr>
        <w:t>'</w:t>
      </w:r>
      <w:r w:rsidRPr="005A1DD1">
        <w:rPr>
          <w:sz w:val="28"/>
          <w:szCs w:val="28"/>
        </w:rPr>
        <w:t>s Court (2018) S.M.Z. No. 1514</w:t>
      </w:r>
    </w:p>
    <w:p w:rsidR="00824208" w:rsidRPr="005A1DD1" w:rsidRDefault="00824208" w:rsidP="00824208">
      <w:pPr>
        <w:adjustRightInd w:val="0"/>
        <w:snapToGrid w:val="0"/>
        <w:spacing w:line="312" w:lineRule="auto"/>
        <w:ind w:leftChars="267" w:left="2241" w:hangingChars="600" w:hanging="1680"/>
        <w:rPr>
          <w:rFonts w:eastAsia="仿宋_GB2312"/>
          <w:sz w:val="28"/>
          <w:szCs w:val="28"/>
        </w:rPr>
      </w:pPr>
      <w:r w:rsidRPr="005A1DD1">
        <w:rPr>
          <w:sz w:val="28"/>
          <w:szCs w:val="28"/>
        </w:rPr>
        <w:t>Plaintiff:</w:t>
      </w:r>
      <w:r>
        <w:rPr>
          <w:sz w:val="28"/>
          <w:szCs w:val="28"/>
        </w:rPr>
        <w:tab/>
      </w:r>
      <w:r w:rsidRPr="005A1DD1">
        <w:rPr>
          <w:sz w:val="28"/>
          <w:szCs w:val="28"/>
        </w:rPr>
        <w:t>Nanjing Branch of Beijing Spot Interaction Information Service Co., Ltd.</w:t>
      </w:r>
    </w:p>
    <w:p w:rsidR="00824208" w:rsidRPr="005A1DD1" w:rsidRDefault="00824208" w:rsidP="00824208">
      <w:pPr>
        <w:adjustRightInd w:val="0"/>
        <w:snapToGrid w:val="0"/>
        <w:spacing w:line="312" w:lineRule="auto"/>
        <w:ind w:leftChars="267" w:left="2241" w:hangingChars="600" w:hanging="1680"/>
        <w:rPr>
          <w:rFonts w:eastAsia="仿宋_GB2312"/>
          <w:sz w:val="28"/>
          <w:szCs w:val="28"/>
        </w:rPr>
      </w:pPr>
      <w:r w:rsidRPr="005A1DD1">
        <w:rPr>
          <w:sz w:val="28"/>
          <w:szCs w:val="28"/>
        </w:rPr>
        <w:t>Defendant:</w:t>
      </w:r>
      <w:r>
        <w:rPr>
          <w:sz w:val="28"/>
          <w:szCs w:val="28"/>
        </w:rPr>
        <w:tab/>
      </w:r>
      <w:r w:rsidRPr="005A1DD1">
        <w:rPr>
          <w:sz w:val="28"/>
          <w:szCs w:val="28"/>
        </w:rPr>
        <w:t>Beijing Baidu Netcom Science and Technology Co., Ltd.</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[Adjudication Gist]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1. Although the sharing, offline downloading, second transmission, and other related functions of net disks and cloud disks can be used to implement the infringing act of transmission, a network service provider's provision of technical functions such as second transmission, sharing, and online playing does not constitute infringement where the network service provider is not at fault or does not implement the infringing act of transmission directly.</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2. The notice sent by the </w:t>
      </w:r>
      <w:r>
        <w:rPr>
          <w:sz w:val="28"/>
          <w:szCs w:val="28"/>
        </w:rPr>
        <w:t>rights holder</w:t>
      </w:r>
      <w:r w:rsidRPr="005A1DD1">
        <w:rPr>
          <w:sz w:val="28"/>
          <w:szCs w:val="28"/>
        </w:rPr>
        <w:t xml:space="preserve"> shall at least enable the notified party to clearly understand the right status of the work, to associate and extract the complaint content of the complainant easily and quickly, and to </w:t>
      </w:r>
      <w:r>
        <w:rPr>
          <w:sz w:val="28"/>
          <w:szCs w:val="28"/>
        </w:rPr>
        <w:t xml:space="preserve">have </w:t>
      </w:r>
      <w:r w:rsidRPr="005A1DD1">
        <w:rPr>
          <w:sz w:val="28"/>
          <w:szCs w:val="28"/>
        </w:rPr>
        <w:t>a general knowledge of and locate the implementation subject and objective form of the complained infringement, otherwise, the notice will not constitute a valid notification.</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3. With regard to the protection of the right of information dissemination through network of works, attention shall be paid to balancing the interests of the three main subjects, namely, the information storage space network service provider, the information storage space network users (network users), and the </w:t>
      </w:r>
      <w:r>
        <w:rPr>
          <w:sz w:val="28"/>
          <w:szCs w:val="28"/>
        </w:rPr>
        <w:lastRenderedPageBreak/>
        <w:t>rights holder</w:t>
      </w:r>
      <w:r w:rsidRPr="005A1DD1">
        <w:rPr>
          <w:sz w:val="28"/>
          <w:szCs w:val="28"/>
        </w:rPr>
        <w:t xml:space="preserve"> of the works, and the protection boundary of the right of information dissemination through network shall be reasonably determined by comprehensively considering the behavior form of </w:t>
      </w:r>
      <w:r w:rsidRPr="00A473C5">
        <w:rPr>
          <w:sz w:val="28"/>
          <w:szCs w:val="28"/>
        </w:rPr>
        <w:t xml:space="preserve">dissemination </w:t>
      </w:r>
      <w:r w:rsidRPr="005A1DD1">
        <w:rPr>
          <w:sz w:val="28"/>
          <w:szCs w:val="28"/>
        </w:rPr>
        <w:t>of the works, the duty of care of the platform, the reasonable use by users, and other factors.</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[Case Description]</w:t>
      </w:r>
    </w:p>
    <w:p w:rsidR="00824208" w:rsidRPr="005A1DD1" w:rsidRDefault="00824208" w:rsidP="00824208">
      <w:pPr>
        <w:tabs>
          <w:tab w:val="left" w:pos="2694"/>
        </w:tabs>
        <w:adjustRightInd w:val="0"/>
        <w:snapToGrid w:val="0"/>
        <w:spacing w:line="312" w:lineRule="auto"/>
        <w:ind w:firstLineChars="200" w:firstLine="560"/>
        <w:rPr>
          <w:rFonts w:eastAsia="仿宋_GB2312"/>
          <w:sz w:val="28"/>
          <w:szCs w:val="28"/>
        </w:rPr>
      </w:pPr>
      <w:r w:rsidRPr="005A1DD1">
        <w:rPr>
          <w:sz w:val="28"/>
          <w:szCs w:val="28"/>
        </w:rPr>
        <w:t xml:space="preserve">Nanjing Branch of Beijing Spot Interaction Information Service Co., Ltd. (hereinafter referred to as "Spot Interaction Nanjing Branch") has obtained the exclusive right of information dissemination through network of the film </w:t>
      </w:r>
      <w:r>
        <w:rPr>
          <w:sz w:val="28"/>
          <w:szCs w:val="28"/>
        </w:rPr>
        <w:t>and</w:t>
      </w:r>
      <w:r w:rsidRPr="005A1DD1">
        <w:rPr>
          <w:sz w:val="28"/>
          <w:szCs w:val="28"/>
        </w:rPr>
        <w:t xml:space="preserve"> TV work Fleet of Time. From March to December 2017, Spot Interaction Nanjing Branch proved through several notarial certificates that the Baidu Netdisk operated by Beijing Baidu Netcom Science and Technology Co., Ltd. (hereinafter referred to as "Baidu") stored episodes 01-09, 11-16, and other contents of the TV play Fleet of Time which could be shared by means of creating a "publicly available" or "encrypted" sharing link, and could also be downloaded offline. On April 10, 2017, Feefoxes Information Technology (Tianjin) Limited (hereinafter referred to as "Feefoxes”) and Spot Interaction Nanjing Branch issued a Notification Letter to Baidu, requiring Baidu to delete the infringing documents in Baidu Netdisk serve</w:t>
      </w:r>
      <w:r>
        <w:rPr>
          <w:sz w:val="28"/>
          <w:szCs w:val="28"/>
        </w:rPr>
        <w:t xml:space="preserve">r, </w:t>
      </w:r>
      <w:r w:rsidRPr="005A1DD1">
        <w:rPr>
          <w:sz w:val="28"/>
          <w:szCs w:val="28"/>
        </w:rPr>
        <w:t xml:space="preserve">disconnect and delete the sharing link of such infringing documents within seven days </w:t>
      </w:r>
      <w:r>
        <w:rPr>
          <w:sz w:val="28"/>
          <w:szCs w:val="28"/>
        </w:rPr>
        <w:t>upon receipt of</w:t>
      </w:r>
      <w:r w:rsidRPr="005A1DD1">
        <w:rPr>
          <w:sz w:val="28"/>
          <w:szCs w:val="28"/>
        </w:rPr>
        <w:t xml:space="preserve"> the Notification Letter, and stop providing such infringing documents to Internet users through Baidu Netdisk server by </w:t>
      </w:r>
      <w:r>
        <w:rPr>
          <w:sz w:val="28"/>
          <w:szCs w:val="28"/>
        </w:rPr>
        <w:t xml:space="preserve">means of </w:t>
      </w:r>
      <w:r w:rsidRPr="005A1DD1">
        <w:rPr>
          <w:sz w:val="28"/>
          <w:szCs w:val="28"/>
        </w:rPr>
        <w:t xml:space="preserve">uploading, downloading, sharing, online playing, or offline downloading. Annex 1 to the Notification Letter is the "Document Verification Values", in which item 33 is "Fleet of Time", listing the values of MD5, SHA1, and CRC32 from episodes 01-15; and Annex 2 thereto is the "Chinese Names and the Corresponding Pinyin, the First Letters of Pinyin, and English Names of Film </w:t>
      </w:r>
      <w:r>
        <w:rPr>
          <w:sz w:val="28"/>
          <w:szCs w:val="28"/>
        </w:rPr>
        <w:t>and</w:t>
      </w:r>
      <w:r w:rsidRPr="005A1DD1">
        <w:rPr>
          <w:sz w:val="28"/>
          <w:szCs w:val="28"/>
        </w:rPr>
        <w:t xml:space="preserve"> TV Works", in which item 33 is the TV play "</w:t>
      </w:r>
      <w:r w:rsidRPr="005A1DD1">
        <w:rPr>
          <w:sz w:val="28"/>
          <w:szCs w:val="28"/>
        </w:rPr>
        <w:t>匆匆那年</w:t>
      </w:r>
      <w:r w:rsidRPr="005A1DD1">
        <w:rPr>
          <w:sz w:val="28"/>
          <w:szCs w:val="28"/>
        </w:rPr>
        <w:t>(</w:t>
      </w:r>
      <w:r w:rsidRPr="005A1DD1">
        <w:rPr>
          <w:sz w:val="28"/>
          <w:szCs w:val="28"/>
        </w:rPr>
        <w:t>电视剧</w:t>
      </w:r>
      <w:r w:rsidRPr="005A1DD1">
        <w:rPr>
          <w:sz w:val="28"/>
          <w:szCs w:val="28"/>
        </w:rPr>
        <w:t>)-CongCongNaNian-Fleet of Time".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After a period of time, Spot Interaction Nanjing Branch found that there were still related works in Baidu Netdisk, so it filed a lawsuit with the court, </w:t>
      </w:r>
      <w:r>
        <w:rPr>
          <w:sz w:val="28"/>
          <w:szCs w:val="28"/>
        </w:rPr>
        <w:t>claiming</w:t>
      </w:r>
      <w:r w:rsidRPr="005A1DD1">
        <w:rPr>
          <w:sz w:val="28"/>
          <w:szCs w:val="28"/>
        </w:rPr>
        <w:t xml:space="preserve"> that Baidu constituted an infringement, and requiring Baidu to </w:t>
      </w:r>
      <w:r w:rsidRPr="005A1DD1">
        <w:rPr>
          <w:sz w:val="28"/>
          <w:szCs w:val="28"/>
        </w:rPr>
        <w:lastRenderedPageBreak/>
        <w:t>immediately stop the</w:t>
      </w:r>
      <w:r>
        <w:rPr>
          <w:sz w:val="28"/>
          <w:szCs w:val="28"/>
        </w:rPr>
        <w:t xml:space="preserve"> act of</w:t>
      </w:r>
      <w:r w:rsidRPr="005A1DD1">
        <w:rPr>
          <w:sz w:val="28"/>
          <w:szCs w:val="28"/>
        </w:rPr>
        <w:t xml:space="preserve"> infringement and compensate for its economic losses and reasonable expenses totaling RMB three million.</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[Decision of the Court]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The Nanjing Intermediate People's Court, as the court of first instance, found that: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First, a series of notarial certificates submitted by Spot Interaction Nanjing Branch can prove that the related film </w:t>
      </w:r>
      <w:r>
        <w:rPr>
          <w:sz w:val="28"/>
          <w:szCs w:val="28"/>
        </w:rPr>
        <w:t>and</w:t>
      </w:r>
      <w:r w:rsidRPr="005A1DD1">
        <w:rPr>
          <w:sz w:val="28"/>
          <w:szCs w:val="28"/>
        </w:rPr>
        <w:t xml:space="preserve"> TV work Fleet of Time can be uploaded to Baidu Netdisk within a second, the related film </w:t>
      </w:r>
      <w:r>
        <w:rPr>
          <w:sz w:val="28"/>
          <w:szCs w:val="28"/>
        </w:rPr>
        <w:t>and</w:t>
      </w:r>
      <w:r w:rsidRPr="005A1DD1">
        <w:rPr>
          <w:sz w:val="28"/>
          <w:szCs w:val="28"/>
        </w:rPr>
        <w:t xml:space="preserve"> TV work Fleet of Time can be shared through the "publicly available" and "encrypted" sharing link among different accounts of Baidu Netdisk, and the alleged infringing documents can be downloaded offline and saved to users' Baidu Netdisk accounts, but all of these do not constitute a direct infringement </w:t>
      </w:r>
      <w:r>
        <w:rPr>
          <w:sz w:val="28"/>
          <w:szCs w:val="28"/>
        </w:rPr>
        <w:t>upon</w:t>
      </w:r>
      <w:r w:rsidRPr="005A1DD1">
        <w:rPr>
          <w:sz w:val="28"/>
          <w:szCs w:val="28"/>
        </w:rPr>
        <w:t xml:space="preserve"> the right of information dissemination through network of the related work. Second, when Spot Interaction Nanjing Branch clearly informed Baidu that the work existed on Baidu Netdisk that was the same as the related film </w:t>
      </w:r>
      <w:r>
        <w:rPr>
          <w:sz w:val="28"/>
          <w:szCs w:val="28"/>
        </w:rPr>
        <w:t>and</w:t>
      </w:r>
      <w:r w:rsidRPr="005A1DD1">
        <w:rPr>
          <w:sz w:val="28"/>
          <w:szCs w:val="28"/>
        </w:rPr>
        <w:t xml:space="preserve"> TV work Fleet of Time of which the right of information dissemination through network is owned by Spot Interaction Nanjing Branch, Baidu didn't take any action, which is indeed wrong and constitutes contributory infringement, therefore, Baidu shall bear corresponding infringement liabilities.</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The court of first instance ruled that Baidu shall immediately delete the infringing works in the server, and compensate Spot Interaction Nanjing Branch for economic losses and reasonable expenses of RMB 500 thousand. After the judgment of first instance was pronounced, Baidu appealed to Jiangsu High People</w:t>
      </w:r>
      <w:r>
        <w:rPr>
          <w:sz w:val="28"/>
          <w:szCs w:val="28"/>
        </w:rPr>
        <w:t>'</w:t>
      </w:r>
      <w:r w:rsidRPr="005A1DD1">
        <w:rPr>
          <w:sz w:val="28"/>
          <w:szCs w:val="28"/>
        </w:rPr>
        <w:t>s Court.</w:t>
      </w:r>
    </w:p>
    <w:p w:rsidR="00824208" w:rsidRPr="005A1DD1" w:rsidRDefault="00824208" w:rsidP="00824208">
      <w:pPr>
        <w:adjustRightInd w:val="0"/>
        <w:snapToGrid w:val="0"/>
        <w:spacing w:line="312" w:lineRule="auto"/>
        <w:ind w:firstLineChars="200" w:firstLine="560"/>
        <w:rPr>
          <w:rFonts w:eastAsia="仿宋_GB2312"/>
          <w:sz w:val="28"/>
          <w:szCs w:val="28"/>
        </w:rPr>
      </w:pPr>
      <w:r>
        <w:rPr>
          <w:sz w:val="28"/>
          <w:szCs w:val="28"/>
        </w:rPr>
        <w:t xml:space="preserve">The </w:t>
      </w:r>
      <w:r w:rsidRPr="005A1DD1">
        <w:rPr>
          <w:sz w:val="28"/>
          <w:szCs w:val="28"/>
        </w:rPr>
        <w:t>Jiangsu High People</w:t>
      </w:r>
      <w:r>
        <w:rPr>
          <w:sz w:val="28"/>
          <w:szCs w:val="28"/>
        </w:rPr>
        <w:t>'</w:t>
      </w:r>
      <w:r w:rsidRPr="005A1DD1">
        <w:rPr>
          <w:sz w:val="28"/>
          <w:szCs w:val="28"/>
        </w:rPr>
        <w:t>s Court</w:t>
      </w:r>
      <w:r>
        <w:rPr>
          <w:sz w:val="28"/>
          <w:szCs w:val="28"/>
        </w:rPr>
        <w:t>, as the court of second instance, found that</w:t>
      </w:r>
      <w:r w:rsidRPr="005A1DD1">
        <w:rPr>
          <w:sz w:val="28"/>
          <w:szCs w:val="28"/>
        </w:rPr>
        <w: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Baidu's failure to delete the relevant documents in Baidu Netdisk server does not constitute contributory infringement.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First, Baidu Netdisk users stored the alleged infringing video documents in Baidu Netdisk. The storage behavior of Baidu Netdisk users and the behavior of </w:t>
      </w:r>
      <w:r w:rsidRPr="005A1DD1">
        <w:rPr>
          <w:sz w:val="28"/>
          <w:szCs w:val="28"/>
        </w:rPr>
        <w:lastRenderedPageBreak/>
        <w:t>Baidu providing the storage space do not constitute an infringement of the right of information dissemination through network of the related work. According to the user agreement of Baidu Netdisk, "Baidu Netdisk is an online service platform providing data storage, synchronization, management, and sharing services to users. Baidu Netdisk is a platform of information storage space that does not directly upload or provide contents, or modify or edit the contents transmitted by users</w:t>
      </w:r>
      <w:r>
        <w:rPr>
          <w:sz w:val="28"/>
          <w:szCs w:val="28"/>
        </w:rPr>
        <w:t>"</w:t>
      </w:r>
      <w:r w:rsidRPr="005A1DD1">
        <w:rPr>
          <w:sz w:val="28"/>
          <w:szCs w:val="28"/>
        </w:rPr>
        <w:t xml:space="preserve">. According to Subparagraph (12) under Paragraph 1 of Article 10 of the Copyright Law of the People's Republic of China, the right of information dissemination through network refers to the right to provide works to the public by wired or wireless means so that the public can obtain the works at a time and place selected by them. It can </w:t>
      </w:r>
      <w:r>
        <w:rPr>
          <w:sz w:val="28"/>
          <w:szCs w:val="28"/>
        </w:rPr>
        <w:t xml:space="preserve">thus </w:t>
      </w:r>
      <w:r w:rsidRPr="005A1DD1">
        <w:rPr>
          <w:sz w:val="28"/>
          <w:szCs w:val="28"/>
        </w:rPr>
        <w:t>be seen that th</w:t>
      </w:r>
      <w:r>
        <w:rPr>
          <w:sz w:val="28"/>
          <w:szCs w:val="28"/>
        </w:rPr>
        <w:t>e</w:t>
      </w:r>
      <w:r w:rsidRPr="005A1DD1">
        <w:rPr>
          <w:sz w:val="28"/>
          <w:szCs w:val="28"/>
        </w:rPr>
        <w:t xml:space="preserve"> right mainly involves the </w:t>
      </w:r>
      <w:r w:rsidRPr="00A473C5">
        <w:rPr>
          <w:sz w:val="28"/>
          <w:szCs w:val="28"/>
        </w:rPr>
        <w:t>dissemination</w:t>
      </w:r>
      <w:r w:rsidRPr="005A1DD1">
        <w:rPr>
          <w:sz w:val="28"/>
          <w:szCs w:val="28"/>
        </w:rPr>
        <w:t xml:space="preserve"> behavior enabling the works to be open and accessible to the public in the information network environment. As for the provider of the network storage space of the specific works and the users of the net disk who are the users of the network storage space, their storage behavior is to a certain extent independent, which is different from the sharing behavior performed by different network users for the purpose of document transmission. The storage behavior itself does not signify that the subject of the storage behavior has the subjective intention of transmitting specific works. Therefore, the behavior of storing specific works cannot be simply considered as equivalent to the behavior of transmitting specific works, and the pure storage behavior does not necessarily constitute </w:t>
      </w:r>
      <w:r>
        <w:rPr>
          <w:sz w:val="28"/>
          <w:szCs w:val="28"/>
        </w:rPr>
        <w:t xml:space="preserve">an </w:t>
      </w:r>
      <w:r w:rsidRPr="005A1DD1">
        <w:rPr>
          <w:sz w:val="28"/>
          <w:szCs w:val="28"/>
        </w:rPr>
        <w:t xml:space="preserve">infringement </w:t>
      </w:r>
      <w:r>
        <w:rPr>
          <w:sz w:val="28"/>
          <w:szCs w:val="28"/>
        </w:rPr>
        <w:t>upon</w:t>
      </w:r>
      <w:r w:rsidRPr="005A1DD1">
        <w:rPr>
          <w:sz w:val="28"/>
          <w:szCs w:val="28"/>
        </w:rPr>
        <w:t xml:space="preserve"> the right of information dissemination through network of </w:t>
      </w:r>
      <w:r>
        <w:rPr>
          <w:sz w:val="28"/>
          <w:szCs w:val="28"/>
        </w:rPr>
        <w:t xml:space="preserve">the </w:t>
      </w:r>
      <w:r w:rsidRPr="005A1DD1">
        <w:rPr>
          <w:sz w:val="28"/>
          <w:szCs w:val="28"/>
        </w:rPr>
        <w:t>relevant work.</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Second, the direct infringing act of transmission of the work Fleet of Time in the complaints of Spot Interaction Nanjing Branch is ambiguous. The evidence </w:t>
      </w:r>
      <w:r>
        <w:rPr>
          <w:sz w:val="28"/>
          <w:szCs w:val="28"/>
        </w:rPr>
        <w:t>submitted by</w:t>
      </w:r>
      <w:r w:rsidRPr="005A1DD1">
        <w:rPr>
          <w:sz w:val="28"/>
          <w:szCs w:val="28"/>
        </w:rPr>
        <w:t xml:space="preserve"> Spot Interaction Nanjing Branch can only prove that related video documents </w:t>
      </w:r>
      <w:r>
        <w:rPr>
          <w:sz w:val="28"/>
          <w:szCs w:val="28"/>
        </w:rPr>
        <w:t xml:space="preserve">were </w:t>
      </w:r>
      <w:r w:rsidRPr="005A1DD1">
        <w:rPr>
          <w:sz w:val="28"/>
          <w:szCs w:val="28"/>
        </w:rPr>
        <w:t xml:space="preserve">stored in Baidu Netdisk, and the functions of Baidu Netdisk such as sharing, offline downloading, and second transmission can be used to implement theinfringing act of transmission. However, the above evidence cannot prove that certain Baidu Netdisk users who are not authorized </w:t>
      </w:r>
      <w:r w:rsidRPr="005A1DD1">
        <w:rPr>
          <w:sz w:val="28"/>
          <w:szCs w:val="28"/>
        </w:rPr>
        <w:lastRenderedPageBreak/>
        <w:t>by Spot Interaction Nanjing Branch and its affiliated company Feefoxes, had indeed carried out the infringing act of transmi</w:t>
      </w:r>
      <w:r>
        <w:rPr>
          <w:sz w:val="28"/>
          <w:szCs w:val="28"/>
        </w:rPr>
        <w:t>tting</w:t>
      </w:r>
      <w:r w:rsidRPr="005A1DD1">
        <w:rPr>
          <w:sz w:val="28"/>
          <w:szCs w:val="28"/>
        </w:rPr>
        <w:t xml:space="preserve"> the related work on Baidu Netdisk, and that Baidu </w:t>
      </w:r>
      <w:r>
        <w:rPr>
          <w:sz w:val="28"/>
          <w:szCs w:val="28"/>
        </w:rPr>
        <w:t>was</w:t>
      </w:r>
      <w:r w:rsidRPr="005A1DD1">
        <w:rPr>
          <w:sz w:val="28"/>
          <w:szCs w:val="28"/>
        </w:rPr>
        <w:t xml:space="preserve"> aware of or ought to be aware of such infringement. In the Notification Letter sent by Spot Interaction Nanjing Branch to Baidu, although Spot Interaction Nanjing Branch required Baidu to disconnect and delete the sharing link, it did not provide any sharing link for the purpose of transmitting the related work in the annexes to the Notification Letter. Therefore, the subject and objective state of the infringing act of transmi</w:t>
      </w:r>
      <w:r>
        <w:rPr>
          <w:sz w:val="28"/>
          <w:szCs w:val="28"/>
        </w:rPr>
        <w:t>tting</w:t>
      </w:r>
      <w:r w:rsidRPr="005A1DD1">
        <w:rPr>
          <w:sz w:val="28"/>
          <w:szCs w:val="28"/>
        </w:rPr>
        <w:t xml:space="preserve"> the related work set forth in the Spot Interaction Nanjing Branch's complaints are not clear.</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Third, the Notification Letter sent by Spot Interaction Nanjing Branch to Baidu does not constitute a valid notification. Although the court of second instance didn't hold that a valid notification must follow the aforesaid requirements and contain the infringing link in other cases, a valid notification issued by the </w:t>
      </w:r>
      <w:r>
        <w:rPr>
          <w:sz w:val="28"/>
          <w:szCs w:val="28"/>
        </w:rPr>
        <w:t>right holder</w:t>
      </w:r>
      <w:r w:rsidRPr="005A1DD1">
        <w:rPr>
          <w:sz w:val="28"/>
          <w:szCs w:val="28"/>
        </w:rPr>
        <w:t xml:space="preserve"> shall at least enable the notified party to easily and quickly associate and extract the complaint content of the complainant, and to </w:t>
      </w:r>
      <w:r>
        <w:rPr>
          <w:sz w:val="28"/>
          <w:szCs w:val="28"/>
        </w:rPr>
        <w:t xml:space="preserve">have </w:t>
      </w:r>
      <w:r w:rsidRPr="005A1DD1">
        <w:rPr>
          <w:sz w:val="28"/>
          <w:szCs w:val="28"/>
        </w:rPr>
        <w:t>a general knowledge of and locate the subject of the infringing behavior as well as the objective state of the behavior, and on this basis, to fulfill other reasonable and essential examination and attention obligations and take treatment measures, including but not limited to disconnecting links and deleting documents.</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As mentioned above, the Notification Letter issued by Spot Interaction Nanjing Branch in this case neither contains the infringing sharing link nor does it contain the concrete contents enabling Baidu to easily and quickly locate the infringing act of transmission and the implementer. Even if the MD5 value and other document verification values submitted by Spot Interaction Nanjing Branch can help locate the specific documents, Baidu still needs to review and judge whether the Baidu Netdisk users who have saved the specific documents in their accounts have carried out the infringing act of transmission. Therefore, in the absence of any clear indication that certain Baidu Netdisk users </w:t>
      </w:r>
      <w:r>
        <w:rPr>
          <w:sz w:val="28"/>
          <w:szCs w:val="28"/>
        </w:rPr>
        <w:t xml:space="preserve">had </w:t>
      </w:r>
      <w:r w:rsidRPr="005A1DD1">
        <w:rPr>
          <w:sz w:val="28"/>
          <w:szCs w:val="28"/>
        </w:rPr>
        <w:t>use</w:t>
      </w:r>
      <w:r>
        <w:rPr>
          <w:sz w:val="28"/>
          <w:szCs w:val="28"/>
        </w:rPr>
        <w:t>d</w:t>
      </w:r>
      <w:r w:rsidRPr="005A1DD1">
        <w:rPr>
          <w:sz w:val="28"/>
          <w:szCs w:val="28"/>
        </w:rPr>
        <w:t xml:space="preserve"> Baidu Netdisk to directly implement the infringing act of transmi</w:t>
      </w:r>
      <w:r>
        <w:rPr>
          <w:sz w:val="28"/>
          <w:szCs w:val="28"/>
        </w:rPr>
        <w:t>tting</w:t>
      </w:r>
      <w:r w:rsidRPr="005A1DD1">
        <w:rPr>
          <w:sz w:val="28"/>
          <w:szCs w:val="28"/>
        </w:rPr>
        <w:t xml:space="preserve"> the related </w:t>
      </w:r>
      <w:r w:rsidRPr="005A1DD1">
        <w:rPr>
          <w:sz w:val="28"/>
          <w:szCs w:val="28"/>
        </w:rPr>
        <w:lastRenderedPageBreak/>
        <w:t>work, the Notification Letter issued by Spot Interaction Nanjing Branch is essentially equivalent to requiring Baidu to comprehensively check all documents in Baidu Netdisk or carry out corresponding technical transformation to realize rapid locating according to the content of the Notification Letter, which obviously and unreasonably increases the burden of Baidu as a network service provider, and may also improperly damage the legitimate rights and interests of the Baidu Netdisk users who use the work for legitimate purposes. Therefore, the court of second instance decided that the Notification Letter is not a valid notification.</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Finally, the nature of Baidu Netdisk is different from that of other information publishing platforms such as Baidu Tieba. Compared with other information network publishing platforms </w:t>
      </w:r>
      <w:r>
        <w:rPr>
          <w:sz w:val="28"/>
          <w:szCs w:val="28"/>
        </w:rPr>
        <w:t>of which the</w:t>
      </w:r>
      <w:r w:rsidRPr="005A1DD1">
        <w:rPr>
          <w:sz w:val="28"/>
          <w:szCs w:val="28"/>
        </w:rPr>
        <w:t xml:space="preserve"> information </w:t>
      </w:r>
      <w:r>
        <w:rPr>
          <w:sz w:val="28"/>
          <w:szCs w:val="28"/>
        </w:rPr>
        <w:t xml:space="preserve">is open </w:t>
      </w:r>
      <w:r w:rsidRPr="005A1DD1">
        <w:rPr>
          <w:sz w:val="28"/>
          <w:szCs w:val="28"/>
        </w:rPr>
        <w:t xml:space="preserve">to the public, Baidu Netdisk is more private. </w:t>
      </w:r>
      <w:r>
        <w:rPr>
          <w:sz w:val="28"/>
          <w:szCs w:val="28"/>
        </w:rPr>
        <w:t>If</w:t>
      </w:r>
      <w:r w:rsidRPr="005A1DD1">
        <w:rPr>
          <w:sz w:val="28"/>
          <w:szCs w:val="28"/>
        </w:rPr>
        <w:t xml:space="preserve"> a Baidu Netdisk user does not actively share the documents under his/her account, ordinary users or the public cannot freely access any content in </w:t>
      </w:r>
      <w:r>
        <w:rPr>
          <w:sz w:val="28"/>
          <w:szCs w:val="28"/>
        </w:rPr>
        <w:t>such user's</w:t>
      </w:r>
      <w:r w:rsidRPr="005A1DD1">
        <w:rPr>
          <w:sz w:val="28"/>
          <w:szCs w:val="28"/>
        </w:rPr>
        <w:t xml:space="preserve"> net disk at the time and place selected by them. The storage space under the accounts owned by the Baidu Netdisk users can be regarded as an extension of the storage space of hardware physical devices such as the users' personal computers and mobile phones in the network environment. In addition, since Baidu Netdisk uses the technology that only one copy of the same document can be actually stored, if Baidu deletes a document in Baidu Netdisk server, the same document will be deleted from the storage space of all Baidu Netdisk users including those who are entitled to use or reasonably use this document. In the process of exercising and maintaining the rights of works, we shall respect </w:t>
      </w:r>
      <w:r>
        <w:rPr>
          <w:sz w:val="28"/>
          <w:szCs w:val="28"/>
        </w:rPr>
        <w:t xml:space="preserve">rather than damage </w:t>
      </w:r>
      <w:r w:rsidRPr="005A1DD1">
        <w:rPr>
          <w:sz w:val="28"/>
          <w:szCs w:val="28"/>
        </w:rPr>
        <w:t xml:space="preserve">the legitimate rights </w:t>
      </w:r>
      <w:r>
        <w:rPr>
          <w:sz w:val="28"/>
          <w:szCs w:val="28"/>
        </w:rPr>
        <w:t xml:space="preserve">and interests </w:t>
      </w:r>
      <w:r w:rsidRPr="005A1DD1">
        <w:rPr>
          <w:sz w:val="28"/>
          <w:szCs w:val="28"/>
        </w:rPr>
        <w:t>of others. Therefore, the claim of Spot Interaction Nanjing Branch that Baidu shall directly delete the relevant documents in Baidu Netdisk server according to the Notification Letter may damage the relevant rights and interests of ordinary Baidu Netdisk users who do not commit the infringement, resulting in imbalance</w:t>
      </w:r>
      <w:r>
        <w:rPr>
          <w:sz w:val="28"/>
          <w:szCs w:val="28"/>
        </w:rPr>
        <w:t>d</w:t>
      </w:r>
      <w:r w:rsidRPr="005A1DD1">
        <w:rPr>
          <w:sz w:val="28"/>
          <w:szCs w:val="28"/>
        </w:rPr>
        <w:t xml:space="preserve"> interests among the three parties, namely, the information storage space network service provider, the information storage space network users </w:t>
      </w:r>
      <w:r w:rsidRPr="005A1DD1">
        <w:rPr>
          <w:sz w:val="28"/>
          <w:szCs w:val="28"/>
        </w:rPr>
        <w:lastRenderedPageBreak/>
        <w:t xml:space="preserve">(network users), and the </w:t>
      </w:r>
      <w:r>
        <w:rPr>
          <w:sz w:val="28"/>
          <w:szCs w:val="28"/>
        </w:rPr>
        <w:t>right holder</w:t>
      </w:r>
      <w:r w:rsidRPr="005A1DD1">
        <w:rPr>
          <w:sz w:val="28"/>
          <w:szCs w:val="28"/>
        </w:rPr>
        <w:t xml:space="preserve"> of the work</w:t>
      </w:r>
      <w:r>
        <w:rPr>
          <w:sz w:val="28"/>
          <w:szCs w:val="28"/>
        </w:rPr>
        <w:t>,</w:t>
      </w:r>
      <w:r w:rsidRPr="005A1DD1">
        <w:rPr>
          <w:sz w:val="28"/>
          <w:szCs w:val="28"/>
        </w:rPr>
        <w:t xml:space="preserve"> and also exceeding the scope of protection of the right of information dissemination through network of the related work.</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In conclusion, the Notification Letter sent by Spot Interaction Nanjing Branch is not a valid notification, and its requirement that Baidu shall delete relevant documents in Baidu Netdisk server lacks factual and legal basis. The opinion of the court of first instance that Baidu</w:t>
      </w:r>
      <w:r>
        <w:rPr>
          <w:sz w:val="28"/>
          <w:szCs w:val="28"/>
        </w:rPr>
        <w:t xml:space="preserve">'s failure </w:t>
      </w:r>
      <w:r w:rsidRPr="005A1DD1">
        <w:rPr>
          <w:sz w:val="28"/>
          <w:szCs w:val="28"/>
        </w:rPr>
        <w:t xml:space="preserve">in bearing its examination obligation and responsibility as a network service provider constitutes contributory infringement and </w:t>
      </w:r>
      <w:r>
        <w:rPr>
          <w:sz w:val="28"/>
          <w:szCs w:val="28"/>
        </w:rPr>
        <w:t xml:space="preserve">that </w:t>
      </w:r>
      <w:r w:rsidRPr="005A1DD1">
        <w:rPr>
          <w:sz w:val="28"/>
          <w:szCs w:val="28"/>
        </w:rPr>
        <w:t xml:space="preserve">Baidu shall bear corresponding legal liabilities </w:t>
      </w:r>
      <w:r>
        <w:rPr>
          <w:sz w:val="28"/>
          <w:szCs w:val="28"/>
        </w:rPr>
        <w:t>wa</w:t>
      </w:r>
      <w:r w:rsidRPr="005A1DD1">
        <w:rPr>
          <w:sz w:val="28"/>
          <w:szCs w:val="28"/>
        </w:rPr>
        <w:t xml:space="preserve">s wrong, </w:t>
      </w:r>
      <w:r>
        <w:rPr>
          <w:sz w:val="28"/>
          <w:szCs w:val="28"/>
        </w:rPr>
        <w:t xml:space="preserve">and </w:t>
      </w:r>
      <w:r w:rsidRPr="005A1DD1">
        <w:rPr>
          <w:sz w:val="28"/>
          <w:szCs w:val="28"/>
        </w:rPr>
        <w:t>was corrected by the court of second instance.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Certainly, it is worth noting that the court of second instance determined that Baidu did not constitute contributory infringement based on the conditions involved in this case. However, under the special circumstance that the works of the </w:t>
      </w:r>
      <w:r>
        <w:rPr>
          <w:sz w:val="28"/>
          <w:szCs w:val="28"/>
        </w:rPr>
        <w:t>right holder</w:t>
      </w:r>
      <w:r w:rsidRPr="005A1DD1">
        <w:rPr>
          <w:sz w:val="28"/>
          <w:szCs w:val="28"/>
        </w:rPr>
        <w:t xml:space="preserve"> are hit films or TV series, if the </w:t>
      </w:r>
      <w:r>
        <w:rPr>
          <w:sz w:val="28"/>
          <w:szCs w:val="28"/>
        </w:rPr>
        <w:t>right holder</w:t>
      </w:r>
      <w:r w:rsidRPr="005A1DD1">
        <w:rPr>
          <w:sz w:val="28"/>
          <w:szCs w:val="28"/>
        </w:rPr>
        <w:t xml:space="preserve"> has taken strict protection measures to prevent the illegal transmission of the works and made it difficult for the general public to obtain the works through normal channels, the focus shall be laid on whether the source of the works is legitimate and has the factual basis of reasonable use in the network environment. In this case, if the </w:t>
      </w:r>
      <w:r>
        <w:rPr>
          <w:sz w:val="28"/>
          <w:szCs w:val="28"/>
        </w:rPr>
        <w:t>right holder</w:t>
      </w:r>
      <w:r w:rsidRPr="005A1DD1">
        <w:rPr>
          <w:sz w:val="28"/>
          <w:szCs w:val="28"/>
        </w:rPr>
        <w:t xml:space="preserve"> obtains and holds evidence that suffices to prove that the related works are stored in the network environment through technical means, with a view to preventing and stopping the illegal transmission of the works in the network environment, any infringement against its legitimate rights and interests, and even irreparable damage, the </w:t>
      </w:r>
      <w:r>
        <w:rPr>
          <w:sz w:val="28"/>
          <w:szCs w:val="28"/>
        </w:rPr>
        <w:t>right holder</w:t>
      </w:r>
      <w:r w:rsidRPr="005A1DD1">
        <w:rPr>
          <w:sz w:val="28"/>
          <w:szCs w:val="28"/>
        </w:rPr>
        <w:t xml:space="preserve"> is entitled to request the network service provider to take measures such as deleting, shielding, and disconnecting the link. The network service provider, however, shall have a higher duty of care to respect and protect intellectual property rights.</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In addition, the court of second instance also reminded Baidu to pay attention to the infringement caused by Baidu Netdisk's functions such as second transmission, sharing, and offline downloading. Apart from including clear legal prompt clauses and the Robots Protocol in the user agreement and applying </w:t>
      </w:r>
      <w:r w:rsidRPr="005A1DD1">
        <w:rPr>
          <w:sz w:val="28"/>
          <w:szCs w:val="28"/>
        </w:rPr>
        <w:lastRenderedPageBreak/>
        <w:t>other existing operation mechanisms, Baidu shall still actively respond to the infringement phenomenon that may be caused by new technology development, new application scenarios, and new business operation in the process of market expansion, pay attention to the possible infringement risks therefrom, and simultaneously optimize the technical arrangement and operation and maintenance system of the network platform. In particular, Baidu shall support more ways to query and extract the interactive transmission status of documents stored in the Baidu Netdisk accounts so as to further consummate and improve its data information management capability, technical processing capability, and the quality of infringement complaint handling to protect intellectual property rights, and take reasonable measures to prevent and stop infringement in a timely manner.</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To sum up, the court of second instance ruled that: The judgment of first instance shall be revoked and all the claims of Spot Interaction Nanjing Branch shall be rejected.</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[Typical Significance]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This is a typical case involving the determination of infringement </w:t>
      </w:r>
      <w:r>
        <w:rPr>
          <w:sz w:val="28"/>
          <w:szCs w:val="28"/>
        </w:rPr>
        <w:t>upon</w:t>
      </w:r>
      <w:r w:rsidRPr="005A1DD1">
        <w:rPr>
          <w:sz w:val="28"/>
          <w:szCs w:val="28"/>
        </w:rPr>
        <w:t xml:space="preserve"> the right of information dissemination through network in the application of new technology of net disks. In recent years, net disk services with cloud storage in Internet technology have been widely used because of its large storage capacity, wide coverage, convenient and quick document upload and download, and other advantages. However, in the process of using net disks, it inevitably involves the storage, transmission, and other issues of works, which leads to a debate on whether the net disk services will involve contributory infringement. Previously, there had been judgments that the net disk and cloud disk technology service providers constituted contributory infringement based on the case</w:t>
      </w:r>
      <w:r>
        <w:rPr>
          <w:sz w:val="28"/>
          <w:szCs w:val="28"/>
        </w:rPr>
        <w:t>s'</w:t>
      </w:r>
      <w:r w:rsidRPr="005A1DD1">
        <w:rPr>
          <w:sz w:val="28"/>
          <w:szCs w:val="28"/>
        </w:rPr>
        <w:t xml:space="preserve"> conditions. However, the court of second instance, in view of the particularity of this case, made a different judgment, further improving the rules and ideas for infringement identification of intellectual property cases involving net disks and cloud disks. The judgment of this case provides necessary development space </w:t>
      </w:r>
      <w:r w:rsidRPr="005A1DD1">
        <w:rPr>
          <w:sz w:val="28"/>
          <w:szCs w:val="28"/>
        </w:rPr>
        <w:lastRenderedPageBreak/>
        <w:t>for new technologies, new applications, new industries, and new business models such as the net disk and cloud disk while strengthening the copyright protection of works under the network environment by reasonably defining the protection boundary of the right of information dissemination through network, and balancing the interests of all parties involved in the net disk service. The judgment ideas therein have certain reference value for similar cases, which is mainly reflected in:</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1. The judgment of this case clarifies the duty of care and subjective fault identification standards of net disk and cloud disk service providers, and reasonably defines the protection boundary of the right of information dissemination through network. First, based on the principle of fault, the judgment of this case clarified the boundary between the technical functions of the net disk and the act of infringement, defined that the pure network storage does not infringe</w:t>
      </w:r>
      <w:r>
        <w:rPr>
          <w:sz w:val="28"/>
          <w:szCs w:val="28"/>
        </w:rPr>
        <w:t xml:space="preserve"> upon</w:t>
      </w:r>
      <w:r w:rsidRPr="005A1DD1">
        <w:rPr>
          <w:sz w:val="28"/>
          <w:szCs w:val="28"/>
        </w:rPr>
        <w:t xml:space="preserve"> the right of information dissemination through network of the</w:t>
      </w:r>
      <w:r>
        <w:rPr>
          <w:sz w:val="28"/>
          <w:szCs w:val="28"/>
        </w:rPr>
        <w:t xml:space="preserve"> related</w:t>
      </w:r>
      <w:r w:rsidRPr="005A1DD1">
        <w:rPr>
          <w:sz w:val="28"/>
          <w:szCs w:val="28"/>
        </w:rPr>
        <w:t xml:space="preserve"> work, and pointed out that although the sharing, offline downloading, second transmission, and other related functions of the net disk and cloud disk can be used to implement the infringing act of transmission, the provision of second transmission, sharing, online playing, and other technical functions will not constitute infringement when the network service provider is not at fault or does not directly implement the infringing act</w:t>
      </w:r>
      <w:r>
        <w:rPr>
          <w:sz w:val="28"/>
          <w:szCs w:val="28"/>
        </w:rPr>
        <w:t xml:space="preserve"> of</w:t>
      </w:r>
      <w:r w:rsidRPr="005A1DD1">
        <w:rPr>
          <w:sz w:val="28"/>
          <w:szCs w:val="28"/>
        </w:rPr>
        <w:t xml:space="preserve"> transmission. Second, the judgment defined the standards for a valid notification or the Notification Letter sent by the </w:t>
      </w:r>
      <w:r>
        <w:rPr>
          <w:sz w:val="28"/>
          <w:szCs w:val="28"/>
        </w:rPr>
        <w:t>right holder</w:t>
      </w:r>
      <w:r w:rsidRPr="005A1DD1">
        <w:rPr>
          <w:sz w:val="28"/>
          <w:szCs w:val="28"/>
        </w:rPr>
        <w:t xml:space="preserve"> to the network service provider. To be specific, the notice shall at least enable the notified party to clearly understand the right status of the works, easily and quickly associate and extract the complaint content of the complainant, and have a general knowledge of and locate the implementation subject and objective state of the alleged infringing act. Therefore, it is ruled that the Notification Letter issued by Spot Interaction Nanjing Branch containing the document involving MD5 value and the Chinese and English names of the work is not a valid notification because the act of infringement and the infringer cannot be located easily and quickly. In essence, </w:t>
      </w:r>
      <w:r w:rsidRPr="005A1DD1">
        <w:rPr>
          <w:sz w:val="28"/>
          <w:szCs w:val="28"/>
        </w:rPr>
        <w:lastRenderedPageBreak/>
        <w:t xml:space="preserve">the notice is equivalent to requiring Baidu to comprehensively check all the documents in Baidu Netdisk or carry out corresponding technical transformation to realize rapid locating according to the content of the Notification Letter, which obviously and unreasonably increases the burden of Baidu as a network service provider, and may improperly damage the rights and interests of ordinary Baidu Netdisk users who use the work for legitimate purposes. Third, from the perspective of the uniqueness of the stored documents and the consequences of deletion, the judgment of this case interprets the irrationality of the service provider's deletion measures, that is, if Baidu deletes a document from Baidu Netdisk server according to the above improper notification, the same document will be deleted from the storage space of all Baidu Netdisk users who </w:t>
      </w:r>
      <w:r>
        <w:rPr>
          <w:sz w:val="28"/>
          <w:szCs w:val="28"/>
        </w:rPr>
        <w:t xml:space="preserve">have </w:t>
      </w:r>
      <w:r w:rsidRPr="005A1DD1">
        <w:rPr>
          <w:sz w:val="28"/>
          <w:szCs w:val="28"/>
        </w:rPr>
        <w:t>store</w:t>
      </w:r>
      <w:r>
        <w:rPr>
          <w:sz w:val="28"/>
          <w:szCs w:val="28"/>
        </w:rPr>
        <w:t>d</w:t>
      </w:r>
      <w:r w:rsidRPr="005A1DD1">
        <w:rPr>
          <w:sz w:val="28"/>
          <w:szCs w:val="28"/>
        </w:rPr>
        <w:t xml:space="preserve"> this document, which may damage the relevant rights and interests of ordinary Baidu Netdisk users who do not commit the infringement, resulting in imbalance</w:t>
      </w:r>
      <w:r>
        <w:rPr>
          <w:sz w:val="28"/>
          <w:szCs w:val="28"/>
        </w:rPr>
        <w:t>d</w:t>
      </w:r>
      <w:r w:rsidRPr="005A1DD1">
        <w:rPr>
          <w:sz w:val="28"/>
          <w:szCs w:val="28"/>
        </w:rPr>
        <w:t xml:space="preserve"> interests among the three parties, namely, the information storage space network service provider, the information storage space network users (network users), and the </w:t>
      </w:r>
      <w:r>
        <w:rPr>
          <w:sz w:val="28"/>
          <w:szCs w:val="28"/>
        </w:rPr>
        <w:t>right holder</w:t>
      </w:r>
      <w:r w:rsidRPr="005A1DD1">
        <w:rPr>
          <w:sz w:val="28"/>
          <w:szCs w:val="28"/>
        </w:rPr>
        <w:t xml:space="preserve"> of the work.</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2. The judgment of this case clarifies the necessary duty of care of the net disk service provider under special circumstances and the necessary measures to be taken in response to the development of network technology, so as to guide the healthy development of the Internet industry. According to the judgment of this case, under the special circumstance that the works of the </w:t>
      </w:r>
      <w:r>
        <w:rPr>
          <w:sz w:val="28"/>
          <w:szCs w:val="28"/>
        </w:rPr>
        <w:t>right holder</w:t>
      </w:r>
      <w:r w:rsidRPr="005A1DD1">
        <w:rPr>
          <w:sz w:val="28"/>
          <w:szCs w:val="28"/>
        </w:rPr>
        <w:t xml:space="preserve"> are hit films and TV series, if the </w:t>
      </w:r>
      <w:r>
        <w:rPr>
          <w:sz w:val="28"/>
          <w:szCs w:val="28"/>
        </w:rPr>
        <w:t>right holder</w:t>
      </w:r>
      <w:r w:rsidRPr="005A1DD1">
        <w:rPr>
          <w:sz w:val="28"/>
          <w:szCs w:val="28"/>
        </w:rPr>
        <w:t xml:space="preserve"> has taken strict protection measures to prevent the illegal </w:t>
      </w:r>
      <w:r w:rsidRPr="00A473C5">
        <w:rPr>
          <w:sz w:val="28"/>
          <w:szCs w:val="28"/>
        </w:rPr>
        <w:t xml:space="preserve">dissemination </w:t>
      </w:r>
      <w:r w:rsidRPr="005A1DD1">
        <w:rPr>
          <w:sz w:val="28"/>
          <w:szCs w:val="28"/>
        </w:rPr>
        <w:t xml:space="preserve">of the works and made it difficult for the general public to obtain the works through normal channels, the focus shall be laid on whether the source of the works is legitimate and has the factual basis of reasonable use in the network environment. In this case, if the </w:t>
      </w:r>
      <w:r>
        <w:rPr>
          <w:sz w:val="28"/>
          <w:szCs w:val="28"/>
        </w:rPr>
        <w:t xml:space="preserve">right holder </w:t>
      </w:r>
      <w:r w:rsidRPr="005A1DD1">
        <w:rPr>
          <w:sz w:val="28"/>
          <w:szCs w:val="28"/>
        </w:rPr>
        <w:t xml:space="preserve">obtains and holds evidence that suffices to prove that the related works are stored in the network environment through technical means, with a view to preventing and stopping the illegal transmission of the works in the network environment, any infringement against its legitimate rights and interests, and </w:t>
      </w:r>
      <w:r w:rsidRPr="005A1DD1">
        <w:rPr>
          <w:sz w:val="28"/>
          <w:szCs w:val="28"/>
        </w:rPr>
        <w:lastRenderedPageBreak/>
        <w:t xml:space="preserve">even irreparable damage, the </w:t>
      </w:r>
      <w:r>
        <w:rPr>
          <w:sz w:val="28"/>
          <w:szCs w:val="28"/>
        </w:rPr>
        <w:t>right holder</w:t>
      </w:r>
      <w:r w:rsidRPr="005A1DD1">
        <w:rPr>
          <w:sz w:val="28"/>
          <w:szCs w:val="28"/>
        </w:rPr>
        <w:t xml:space="preserve"> is entitled to request the network service provider to take measures such as deleting, shielding, and disconnecting the link. The network service provider, however, shall have a higher duty of care to respect and protect intellectual property rights. In addition, the court of second instance also reminded Baidu to pay attention to the infringement caused by Baidu Netdisk's functions such as second transmission, sharing, and offline downloading. Apart from including clear legal prompt clauses and the Robot Protocol in the user agreement and applying other existing operation mechanisms, Baidu shall still actively respond to the infringement phenomenon that may be caused by new technology development, new application scenarios, and new business operation in the process of market expansion, pay attention to the possible infringement risks therefrom, and simultaneously optimize the technical arrangement and operation and maintenance system of the network platform. In particular, Baidu shall support more ways to query and extract the interactive transmission status of documents stored in the Baidu Netdisk accounts so as to further consummate and improve its data information management capability, technical processing capability, and the quality of infringement complaint handling to protect intellectual property rights, and take reasonable measures to prevent and stop infringement in a timely manner and purify the Internet environment.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Therefore, the judgment of this case clearly defines the degree and scope of the duty of care of the network service provider, clarifies the protection boundary of the right of information dissemination through network under the background of new technologies such as cloud storage, balances the interests of all parties involved in the net disk service, guarantees the proper use of the new network tools by the public, and promotes the development of the net disk, cloud disk, and other Internet technologies.</w:t>
      </w:r>
    </w:p>
    <w:p w:rsidR="00824208" w:rsidRPr="005A1DD1" w:rsidRDefault="00824208" w:rsidP="00824208">
      <w:pPr>
        <w:adjustRightInd w:val="0"/>
        <w:snapToGrid w:val="0"/>
        <w:spacing w:line="312" w:lineRule="auto"/>
        <w:rPr>
          <w:rFonts w:eastAsia="黑体"/>
          <w:sz w:val="28"/>
          <w:szCs w:val="28"/>
        </w:rPr>
      </w:pPr>
      <w:r w:rsidRPr="005A1DD1">
        <w:rPr>
          <w:sz w:val="28"/>
          <w:szCs w:val="28"/>
        </w:rPr>
        <w:br w:type="page"/>
      </w:r>
      <w:r w:rsidRPr="005A1DD1">
        <w:rPr>
          <w:sz w:val="28"/>
          <w:szCs w:val="28"/>
        </w:rPr>
        <w:lastRenderedPageBreak/>
        <w:t xml:space="preserve">4. </w:t>
      </w:r>
      <w:r w:rsidRPr="00570B22">
        <w:rPr>
          <w:rFonts w:hint="eastAsia"/>
          <w:sz w:val="28"/>
          <w:szCs w:val="28"/>
        </w:rPr>
        <w:t>A case involving the highest amount of damages awarded in China applying the punitive compensation system to protect the well-known trademark "</w:t>
      </w:r>
      <w:r w:rsidRPr="00570B22">
        <w:rPr>
          <w:rFonts w:hint="eastAsia"/>
          <w:sz w:val="28"/>
          <w:szCs w:val="28"/>
        </w:rPr>
        <w:t>小米</w:t>
      </w:r>
      <w:r w:rsidRPr="00570B22">
        <w:rPr>
          <w:rFonts w:hint="eastAsia"/>
          <w:sz w:val="28"/>
          <w:szCs w:val="28"/>
        </w:rPr>
        <w:t>" after the revision of the Trademark Law</w:t>
      </w:r>
    </w:p>
    <w:p w:rsidR="00824208" w:rsidRPr="005A1DD1" w:rsidRDefault="00824208" w:rsidP="00824208">
      <w:pPr>
        <w:adjustRightInd w:val="0"/>
        <w:snapToGrid w:val="0"/>
        <w:spacing w:line="312" w:lineRule="auto"/>
        <w:rPr>
          <w:rFonts w:eastAsia="仿宋_GB2312"/>
          <w:sz w:val="28"/>
          <w:szCs w:val="28"/>
        </w:rPr>
      </w:pPr>
      <w:r w:rsidRPr="005A1DD1">
        <w:rPr>
          <w:sz w:val="28"/>
          <w:szCs w:val="28"/>
        </w:rPr>
        <w:t>—</w:t>
      </w:r>
      <w:r w:rsidRPr="00570B22">
        <w:rPr>
          <w:sz w:val="28"/>
          <w:szCs w:val="28"/>
        </w:rPr>
        <w:t>Xiaomi Technology Co., Ltd. et al. v. Zhongshan Povos Appliances Co., Ltd. et al.: Case of Dispute over Trademark Infringement and Unfair Competition</w:t>
      </w:r>
    </w:p>
    <w:p w:rsidR="00824208" w:rsidRPr="005A1DD1" w:rsidRDefault="00824208" w:rsidP="00824208">
      <w:pPr>
        <w:adjustRightInd w:val="0"/>
        <w:snapToGrid w:val="0"/>
        <w:spacing w:line="312" w:lineRule="auto"/>
        <w:ind w:firstLineChars="200" w:firstLine="560"/>
        <w:rPr>
          <w:rFonts w:eastAsia="仿宋_GB2312"/>
          <w:sz w:val="28"/>
          <w:szCs w:val="28"/>
        </w:rPr>
      </w:pP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[Case Information]</w:t>
      </w:r>
    </w:p>
    <w:p w:rsidR="00824208" w:rsidRPr="005A1DD1" w:rsidRDefault="00824208" w:rsidP="00824208">
      <w:pPr>
        <w:adjustRightInd w:val="0"/>
        <w:snapToGrid w:val="0"/>
        <w:spacing w:line="312" w:lineRule="auto"/>
        <w:ind w:leftChars="267" w:left="2241" w:hangingChars="600" w:hanging="1680"/>
        <w:rPr>
          <w:rFonts w:eastAsia="仿宋_GB2312"/>
          <w:sz w:val="28"/>
          <w:szCs w:val="28"/>
        </w:rPr>
      </w:pPr>
      <w:r w:rsidRPr="005A1DD1">
        <w:rPr>
          <w:sz w:val="28"/>
          <w:szCs w:val="28"/>
        </w:rPr>
        <w:t>Case No.:</w:t>
      </w:r>
      <w:r>
        <w:rPr>
          <w:sz w:val="28"/>
          <w:szCs w:val="28"/>
        </w:rPr>
        <w:tab/>
      </w:r>
      <w:r w:rsidRPr="005A1DD1">
        <w:rPr>
          <w:sz w:val="28"/>
          <w:szCs w:val="28"/>
        </w:rPr>
        <w:t>Nanjing Intermediate People's Court (2018) S. 01 M.C. No. 3207</w:t>
      </w:r>
    </w:p>
    <w:p w:rsidR="00824208" w:rsidRPr="005A1DD1" w:rsidRDefault="00824208" w:rsidP="00824208">
      <w:pPr>
        <w:adjustRightInd w:val="0"/>
        <w:snapToGrid w:val="0"/>
        <w:spacing w:line="312" w:lineRule="auto"/>
        <w:ind w:leftChars="932" w:left="1957" w:firstLine="284"/>
        <w:rPr>
          <w:rFonts w:eastAsia="仿宋_GB2312"/>
          <w:sz w:val="28"/>
          <w:szCs w:val="28"/>
        </w:rPr>
      </w:pPr>
      <w:r w:rsidRPr="005A1DD1">
        <w:rPr>
          <w:sz w:val="28"/>
          <w:szCs w:val="28"/>
        </w:rPr>
        <w:t>Jiangsu High People</w:t>
      </w:r>
      <w:r>
        <w:rPr>
          <w:sz w:val="28"/>
          <w:szCs w:val="28"/>
        </w:rPr>
        <w:t>'</w:t>
      </w:r>
      <w:r w:rsidRPr="005A1DD1">
        <w:rPr>
          <w:sz w:val="28"/>
          <w:szCs w:val="28"/>
        </w:rPr>
        <w:t>s Court (2019) S.M.Z. No. 1316</w:t>
      </w:r>
    </w:p>
    <w:p w:rsidR="00824208" w:rsidRPr="005A1DD1" w:rsidRDefault="00824208" w:rsidP="00824208">
      <w:pPr>
        <w:adjustRightInd w:val="0"/>
        <w:snapToGrid w:val="0"/>
        <w:spacing w:line="312" w:lineRule="auto"/>
        <w:ind w:leftChars="267" w:left="2241" w:hangingChars="600" w:hanging="1680"/>
        <w:rPr>
          <w:rFonts w:eastAsia="仿宋_GB2312"/>
          <w:sz w:val="28"/>
          <w:szCs w:val="28"/>
        </w:rPr>
      </w:pPr>
      <w:r w:rsidRPr="005A1DD1">
        <w:rPr>
          <w:sz w:val="28"/>
          <w:szCs w:val="28"/>
        </w:rPr>
        <w:t>Plaintiffs:</w:t>
      </w:r>
      <w:r>
        <w:rPr>
          <w:sz w:val="28"/>
          <w:szCs w:val="28"/>
        </w:rPr>
        <w:tab/>
      </w:r>
      <w:r w:rsidRPr="005A1DD1">
        <w:rPr>
          <w:sz w:val="28"/>
          <w:szCs w:val="28"/>
        </w:rPr>
        <w:t>Xiaomi Technology Co., Ltd. and Xiaomi Communications Co., Ltd.</w:t>
      </w:r>
    </w:p>
    <w:p w:rsidR="00824208" w:rsidRPr="005A1DD1" w:rsidRDefault="00824208" w:rsidP="00824208">
      <w:pPr>
        <w:adjustRightInd w:val="0"/>
        <w:snapToGrid w:val="0"/>
        <w:spacing w:line="312" w:lineRule="auto"/>
        <w:ind w:leftChars="267" w:left="2241" w:hangingChars="600" w:hanging="1680"/>
        <w:rPr>
          <w:rFonts w:eastAsia="仿宋_GB2312"/>
          <w:sz w:val="28"/>
          <w:szCs w:val="28"/>
        </w:rPr>
      </w:pPr>
      <w:r w:rsidRPr="005A1DD1">
        <w:rPr>
          <w:sz w:val="28"/>
          <w:szCs w:val="28"/>
        </w:rPr>
        <w:t>Defendants:</w:t>
      </w:r>
      <w:r>
        <w:rPr>
          <w:sz w:val="28"/>
          <w:szCs w:val="28"/>
        </w:rPr>
        <w:tab/>
      </w:r>
      <w:r w:rsidRPr="005A1DD1">
        <w:rPr>
          <w:sz w:val="28"/>
          <w:szCs w:val="28"/>
        </w:rPr>
        <w:t>Zhongshan Povos Appliances Co., Ltd., Zhongshan Dulingfengsao Appliances Co., Ltd. (formerly Zhongshan Mijia Life Appliances Co., Ltd.), Jiangsu Suning E-commerce Co., Ltd., and Mai Daliang</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[Adjudication Gist]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When a well-known trademark is determined,</w:t>
      </w:r>
      <w:r>
        <w:rPr>
          <w:sz w:val="28"/>
          <w:szCs w:val="28"/>
        </w:rPr>
        <w:t xml:space="preserve"> the </w:t>
      </w:r>
      <w:r w:rsidRPr="005A1DD1">
        <w:rPr>
          <w:sz w:val="28"/>
          <w:szCs w:val="28"/>
        </w:rPr>
        <w:t>court should comprehensively consider various constituted factors of well-known trademarks stipulated in the Trademark Law, and make a comprehensive and objective determination of facts in accordance with specificities of the specific cases, rather than mechanically applying the stipulations concerning the specific time, etc. of the Provisions for the Determination and Protection of Well-known Trademarks.</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In respect of malicious infringement, if the circumstances are serious, the punitive compensation system shall apply to determine the compensation amount with the determined compensatory damages amount as the base, and the amount may be multiplied within the scope prescribed by law. In determining the specific multiple of the amount of damages, the malicious degree of the infringer and the seriousness of the case should be fully taken into consideration.</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lastRenderedPageBreak/>
        <w:t>[Case Description]</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Xiaomi Technology Co., Ltd. (hereinafter referred to as "Xiaomi Technology") and Xiaomi Communications Co., Ltd. (hereinafter referred to as "Xiaomi Communications") were successively established in March 2010 and August 2010. Xiaomi Technology applied to register the trademark "</w:t>
      </w:r>
      <w:r w:rsidRPr="005A1DD1">
        <w:rPr>
          <w:sz w:val="28"/>
          <w:szCs w:val="28"/>
        </w:rPr>
        <w:t>小米</w:t>
      </w:r>
      <w:r w:rsidRPr="005A1DD1">
        <w:rPr>
          <w:sz w:val="28"/>
          <w:szCs w:val="28"/>
        </w:rPr>
        <w:t>" in April 2010. In April 2011, the trademark "</w:t>
      </w:r>
      <w:r w:rsidRPr="005A1DD1">
        <w:rPr>
          <w:sz w:val="28"/>
          <w:szCs w:val="28"/>
        </w:rPr>
        <w:t>小米</w:t>
      </w:r>
      <w:r w:rsidRPr="005A1DD1">
        <w:rPr>
          <w:sz w:val="28"/>
          <w:szCs w:val="28"/>
        </w:rPr>
        <w:t xml:space="preserve">" was approved for registration and </w:t>
      </w:r>
      <w:r>
        <w:rPr>
          <w:sz w:val="28"/>
          <w:szCs w:val="28"/>
        </w:rPr>
        <w:t xml:space="preserve">for </w:t>
      </w:r>
      <w:r w:rsidRPr="005A1DD1">
        <w:rPr>
          <w:sz w:val="28"/>
          <w:szCs w:val="28"/>
        </w:rPr>
        <w:t>use on goods including mobile phones and video phones. Since then, Xiaomi Technology has successively applied to register a series of trademarks including "</w:t>
      </w:r>
      <w:r w:rsidR="008E3AEC" w:rsidRPr="008906E9">
        <w:rPr>
          <w:sz w:val="28"/>
          <w:szCs w:val="28"/>
        </w:rPr>
        <w:pict>
          <v:shape id="_x0000_i1061" type="#_x0000_t75" style="width:22.45pt;height:16.85pt;visibility:visible">
            <v:imagedata r:id="rId22" o:title=""/>
          </v:shape>
        </w:pict>
      </w:r>
      <w:r w:rsidRPr="005A1DD1">
        <w:rPr>
          <w:sz w:val="28"/>
          <w:szCs w:val="28"/>
        </w:rPr>
        <w:t>" and "</w:t>
      </w:r>
      <w:r w:rsidRPr="005A1DD1">
        <w:rPr>
          <w:sz w:val="28"/>
          <w:szCs w:val="28"/>
        </w:rPr>
        <w:t>智米</w:t>
      </w:r>
      <w:r w:rsidRPr="005A1DD1">
        <w:rPr>
          <w:sz w:val="28"/>
          <w:szCs w:val="28"/>
        </w:rPr>
        <w:t>". Under the business model of "hardware + software + Internet", Xiaomi Technology and Xiaomi Communications ha</w:t>
      </w:r>
      <w:r>
        <w:rPr>
          <w:sz w:val="28"/>
          <w:szCs w:val="28"/>
        </w:rPr>
        <w:t>ve</w:t>
      </w:r>
      <w:r w:rsidRPr="005A1DD1">
        <w:rPr>
          <w:sz w:val="28"/>
          <w:szCs w:val="28"/>
        </w:rPr>
        <w:t xml:space="preserve"> made Xiaomi mobile phones branded mobile phones on the Internet in a short time. Since 2010, Xiaomi mobile phones have won a series of national honors in the industry. Major mainstream newspapers, journals, and online media have carried out continuous and extensive advertising and reports on Xiaomi Technology and Xiaomi Communications and their Xiaomi mobile phones. In the</w:t>
      </w:r>
      <w:r>
        <w:rPr>
          <w:sz w:val="28"/>
          <w:szCs w:val="28"/>
        </w:rPr>
        <w:t>ir</w:t>
      </w:r>
      <w:r w:rsidRPr="005A1DD1">
        <w:rPr>
          <w:sz w:val="28"/>
          <w:szCs w:val="28"/>
        </w:rPr>
        <w:t xml:space="preserve"> commercial advertising, Xiaomi Technology and Xiaomi Communications adopted classic slogans including "Living for a favor" and "Being an art in life", and used eye-catching colors such as orange and white, or otherwise.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In November 2011, Zhongshan Povos Appliances Co., Ltd. (hereinafter referred to as "Zhongshan Povos") applied for registration of the trademark "</w:t>
      </w:r>
      <w:r w:rsidRPr="005A1DD1">
        <w:rPr>
          <w:sz w:val="28"/>
          <w:szCs w:val="28"/>
        </w:rPr>
        <w:t>小米生活</w:t>
      </w:r>
      <w:r w:rsidRPr="005A1DD1">
        <w:rPr>
          <w:sz w:val="28"/>
          <w:szCs w:val="28"/>
        </w:rPr>
        <w:t>", and its preliminary approval was announced in October 2012. Xiaomi Technology filed an opposition that the trademark "</w:t>
      </w:r>
      <w:r w:rsidRPr="005A1DD1">
        <w:rPr>
          <w:sz w:val="28"/>
          <w:szCs w:val="28"/>
        </w:rPr>
        <w:t>小米生活</w:t>
      </w:r>
      <w:r w:rsidRPr="005A1DD1">
        <w:rPr>
          <w:sz w:val="28"/>
          <w:szCs w:val="28"/>
        </w:rPr>
        <w:t>" had been approved for registration in 2015. Goods on which the use of the trademark had been approved mainly included electric cookers, water heaters, and electric pressure cookers. In 2018, this trademark "</w:t>
      </w:r>
      <w:r w:rsidRPr="005A1DD1">
        <w:rPr>
          <w:sz w:val="28"/>
          <w:szCs w:val="28"/>
        </w:rPr>
        <w:t>小米生活</w:t>
      </w:r>
      <w:r w:rsidRPr="005A1DD1">
        <w:rPr>
          <w:sz w:val="28"/>
          <w:szCs w:val="28"/>
        </w:rPr>
        <w:t xml:space="preserve">" was declared invalid by the Trademark Review and Adjudication Board of the State Administration for Industry and Commerce (hereinafter referred to as "Trademark Review and Adjudication Board") on the ground that the registration was obtained </w:t>
      </w:r>
      <w:r>
        <w:rPr>
          <w:sz w:val="28"/>
          <w:szCs w:val="28"/>
        </w:rPr>
        <w:t>through</w:t>
      </w:r>
      <w:r w:rsidRPr="005A1DD1">
        <w:rPr>
          <w:sz w:val="28"/>
          <w:szCs w:val="28"/>
        </w:rPr>
        <w:t xml:space="preserve"> improper means. In 2019, the Beijing Intellectual Property Court issued an </w:t>
      </w:r>
      <w:r w:rsidRPr="005A1DD1">
        <w:rPr>
          <w:sz w:val="28"/>
          <w:szCs w:val="28"/>
        </w:rPr>
        <w:lastRenderedPageBreak/>
        <w:t xml:space="preserve">administrative judgment to dismiss </w:t>
      </w:r>
      <w:r>
        <w:rPr>
          <w:sz w:val="28"/>
          <w:szCs w:val="28"/>
        </w:rPr>
        <w:t>the</w:t>
      </w:r>
      <w:r w:rsidRPr="005A1DD1">
        <w:rPr>
          <w:sz w:val="28"/>
          <w:szCs w:val="28"/>
        </w:rPr>
        <w:t xml:space="preserve"> litigious claims</w:t>
      </w:r>
      <w:r>
        <w:rPr>
          <w:sz w:val="28"/>
          <w:szCs w:val="28"/>
        </w:rPr>
        <w:t xml:space="preserve"> of </w:t>
      </w:r>
      <w:r w:rsidRPr="005A1DD1">
        <w:rPr>
          <w:sz w:val="28"/>
          <w:szCs w:val="28"/>
        </w:rPr>
        <w:t>Zhongshan Povos. In addition, among the over 90 trademarks registered by Zhongshan Povos, there are not only multiple trademarks (registered for use on goods of Categories 7, 10, 11, etc.) similar to trademarks "</w:t>
      </w:r>
      <w:r w:rsidRPr="005A1DD1">
        <w:rPr>
          <w:sz w:val="28"/>
          <w:szCs w:val="28"/>
        </w:rPr>
        <w:t>小米</w:t>
      </w:r>
      <w:r w:rsidRPr="005A1DD1">
        <w:rPr>
          <w:sz w:val="28"/>
          <w:szCs w:val="28"/>
        </w:rPr>
        <w:t>" and "</w:t>
      </w:r>
      <w:r w:rsidRPr="005A1DD1">
        <w:rPr>
          <w:sz w:val="28"/>
          <w:szCs w:val="28"/>
        </w:rPr>
        <w:t>智米</w:t>
      </w:r>
      <w:r w:rsidRPr="005A1DD1">
        <w:rPr>
          <w:sz w:val="28"/>
          <w:szCs w:val="28"/>
        </w:rPr>
        <w:t>" registered by Xiaomi Technology, but also multiple trademarks that are identical with or similar to other well-known trademarks including "</w:t>
      </w:r>
      <w:r w:rsidRPr="005A1DD1">
        <w:rPr>
          <w:sz w:val="28"/>
          <w:szCs w:val="28"/>
        </w:rPr>
        <w:t>百事可乐</w:t>
      </w:r>
      <w:r w:rsidRPr="005A1DD1">
        <w:rPr>
          <w:sz w:val="28"/>
          <w:szCs w:val="28"/>
        </w:rPr>
        <w:t>PAPSIPAPNE", "</w:t>
      </w:r>
      <w:r w:rsidRPr="005A1DD1">
        <w:rPr>
          <w:sz w:val="28"/>
          <w:szCs w:val="28"/>
        </w:rPr>
        <w:t>盖乐世</w:t>
      </w:r>
      <w:r w:rsidRPr="005A1DD1">
        <w:rPr>
          <w:sz w:val="28"/>
          <w:szCs w:val="28"/>
        </w:rPr>
        <w:t>", "</w:t>
      </w:r>
      <w:r w:rsidRPr="005A1DD1">
        <w:rPr>
          <w:sz w:val="28"/>
          <w:szCs w:val="28"/>
        </w:rPr>
        <w:t>威猛先生</w:t>
      </w:r>
      <w:r w:rsidRPr="005A1DD1">
        <w:rPr>
          <w:sz w:val="28"/>
          <w:szCs w:val="28"/>
        </w:rPr>
        <w:t>", and "</w:t>
      </w:r>
      <w:r w:rsidRPr="005A1DD1">
        <w:rPr>
          <w:sz w:val="28"/>
          <w:szCs w:val="28"/>
        </w:rPr>
        <w:t>奔腾大地</w:t>
      </w:r>
      <w:r w:rsidRPr="005A1DD1">
        <w:rPr>
          <w:sz w:val="28"/>
          <w:szCs w:val="28"/>
        </w:rPr>
        <w: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Several notarial certificates provided by Xiaomi Technology and Xiaomi Communications indicated that since 2016, Zhongshan Povos and Zhongshan DulingFengsao Appliances Co., Ltd. (hereinafter referred to as "Zhongshan Duling") had used the trademark "</w:t>
      </w:r>
      <w:r w:rsidRPr="005A1DD1">
        <w:rPr>
          <w:sz w:val="28"/>
          <w:szCs w:val="28"/>
        </w:rPr>
        <w:t>小米生活</w:t>
      </w:r>
      <w:r w:rsidRPr="005A1DD1">
        <w:rPr>
          <w:sz w:val="28"/>
          <w:szCs w:val="28"/>
        </w:rPr>
        <w:t>" prominently on the alleged infringing products including induction cookers and rice cookers, at their business sites, and on their websites, domains, WeChat official accounts, or otherwise. The alleged infringing products have been sold through 23 stores involved in the case on e-commerce platforms</w:t>
      </w:r>
      <w:r>
        <w:rPr>
          <w:sz w:val="28"/>
          <w:szCs w:val="28"/>
        </w:rPr>
        <w:t>,</w:t>
      </w:r>
      <w:r w:rsidRPr="005A1DD1">
        <w:rPr>
          <w:sz w:val="28"/>
          <w:szCs w:val="28"/>
        </w:rPr>
        <w:t xml:space="preserve"> including JD.com, Taobao.com, Suning.com. Taking the number of product reviews of the 23 stores as sales volume, which was multiplied by the unit price of the products, Xiaomi Technology and Xiaomi Communications calculated the total sales revenue of the alleged infringing products sold through the aforesaid stores reached RMB 76,153,888.8. </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Xiaomi Technology and Xiaomi Communications held that the trademark "</w:t>
      </w:r>
      <w:r w:rsidRPr="005A1DD1">
        <w:rPr>
          <w:sz w:val="28"/>
          <w:szCs w:val="28"/>
        </w:rPr>
        <w:t>小米</w:t>
      </w:r>
      <w:r w:rsidRPr="005A1DD1">
        <w:rPr>
          <w:sz w:val="28"/>
          <w:szCs w:val="28"/>
        </w:rPr>
        <w:t>", after long-term and extensive use, had become a well</w:t>
      </w:r>
      <w:r>
        <w:rPr>
          <w:sz w:val="28"/>
          <w:szCs w:val="28"/>
        </w:rPr>
        <w:t>-</w:t>
      </w:r>
      <w:r w:rsidRPr="005A1DD1">
        <w:rPr>
          <w:sz w:val="28"/>
          <w:szCs w:val="28"/>
        </w:rPr>
        <w:t xml:space="preserve">known trademark and received high popularity and gained </w:t>
      </w:r>
      <w:r>
        <w:rPr>
          <w:sz w:val="28"/>
          <w:szCs w:val="28"/>
        </w:rPr>
        <w:t xml:space="preserve">a </w:t>
      </w:r>
      <w:r w:rsidRPr="005A1DD1">
        <w:rPr>
          <w:sz w:val="28"/>
          <w:szCs w:val="28"/>
        </w:rPr>
        <w:t>high reputation in the market. Zhongshan Povos and Zhongshan Duling et al. jointly implemented the act of infringing the exclusive right to use the well-known trademark "</w:t>
      </w:r>
      <w:r w:rsidRPr="005A1DD1">
        <w:rPr>
          <w:sz w:val="28"/>
          <w:szCs w:val="28"/>
        </w:rPr>
        <w:t>小米</w:t>
      </w:r>
      <w:r w:rsidRPr="005A1DD1">
        <w:rPr>
          <w:sz w:val="28"/>
          <w:szCs w:val="28"/>
        </w:rPr>
        <w:t>", and used colors and slogans similar to the brand "</w:t>
      </w:r>
      <w:r w:rsidRPr="005A1DD1">
        <w:rPr>
          <w:sz w:val="28"/>
          <w:szCs w:val="28"/>
        </w:rPr>
        <w:t>小米</w:t>
      </w:r>
      <w:r w:rsidRPr="005A1DD1">
        <w:rPr>
          <w:sz w:val="28"/>
          <w:szCs w:val="28"/>
        </w:rPr>
        <w:t xml:space="preserve">" in the promotion and advertisement of their products, which constituted an unfair competition of false propaganda. Therefore, Xiaomi Technology and Xiaomi Communications filed a lawsuit, requesting the court to order Zhongshan Povos and Zhongshan Duling to stop the act of infringement and eliminate the impact, and jointly compensate </w:t>
      </w:r>
      <w:r w:rsidRPr="005A1DD1">
        <w:rPr>
          <w:sz w:val="28"/>
          <w:szCs w:val="28"/>
        </w:rPr>
        <w:lastRenderedPageBreak/>
        <w:t>for economic loss of RMB 50 million and reasonable expenses of RMB 414,198 of Xiaomi Technology and Xiaomi Communications.</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Zhongshan Povos and Zhongshan Duling et al. argued that: 1. Before Zhongshan Povos applied for registration of "</w:t>
      </w:r>
      <w:r w:rsidRPr="005A1DD1">
        <w:rPr>
          <w:sz w:val="28"/>
          <w:szCs w:val="28"/>
        </w:rPr>
        <w:t>小米生活</w:t>
      </w:r>
      <w:r w:rsidRPr="005A1DD1">
        <w:rPr>
          <w:sz w:val="28"/>
          <w:szCs w:val="28"/>
        </w:rPr>
        <w:t>" on November 23, 2011, the trademark "</w:t>
      </w:r>
      <w:r w:rsidRPr="005A1DD1">
        <w:rPr>
          <w:sz w:val="28"/>
          <w:szCs w:val="28"/>
        </w:rPr>
        <w:t>小米</w:t>
      </w:r>
      <w:r w:rsidRPr="005A1DD1">
        <w:rPr>
          <w:sz w:val="28"/>
          <w:szCs w:val="28"/>
        </w:rPr>
        <w:t xml:space="preserve">" had low popularity and was impossible to be called a well-known trademark. Therefore, this trademark should not be applied to the protection of well-known trademarks of different categories. 2. Their advertisements, promotions, and packages were completely different from those of Xiaomi Technology and Xiaomi Communications, which did not constitute unfair competition, and they never conducted false propaganda. 3. The request of Xiaomi Technology and Xiaomi Communications for a joint compensation for their economic losses and reasonable expenses was made in the absence of </w:t>
      </w:r>
      <w:r>
        <w:rPr>
          <w:sz w:val="28"/>
          <w:szCs w:val="28"/>
        </w:rPr>
        <w:t xml:space="preserve">a </w:t>
      </w:r>
      <w:r w:rsidRPr="005A1DD1">
        <w:rPr>
          <w:sz w:val="28"/>
          <w:szCs w:val="28"/>
        </w:rPr>
        <w:t>factual and legal basis.</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[Decision of the Court]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The Nanjing Intermediate People's Court, as the court of first instance, found that: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1. The No.8228211 trademark "</w:t>
      </w:r>
      <w:r w:rsidRPr="005A1DD1">
        <w:rPr>
          <w:sz w:val="28"/>
          <w:szCs w:val="28"/>
        </w:rPr>
        <w:t>小米</w:t>
      </w:r>
      <w:r w:rsidRPr="005A1DD1">
        <w:rPr>
          <w:sz w:val="28"/>
          <w:szCs w:val="28"/>
        </w:rPr>
        <w:t>" involved in this case is a well-known trademark. The way by which the trademark "</w:t>
      </w:r>
      <w:r w:rsidRPr="005A1DD1">
        <w:rPr>
          <w:sz w:val="28"/>
          <w:szCs w:val="28"/>
        </w:rPr>
        <w:t>小米</w:t>
      </w:r>
      <w:r w:rsidRPr="005A1DD1">
        <w:rPr>
          <w:sz w:val="28"/>
          <w:szCs w:val="28"/>
        </w:rPr>
        <w:t xml:space="preserve">" and its Xiaomi mobile phones attained public attention is different from other trademarks and products. Before the release and launch of Xiaomi mobile phones, mobile phone enthusiasts were allowed to participate in the development of the mobile phone system and put forward suggestions, which attracted a large number of relevant people to pay attention to their mobile phones. On the date of the release, the search volume of and attention received by Xiaomi mobile phones had a significant increase higher than other brands of mobile phones, indicating that the market and consumers continued to pay attention to their mobile phones and that exerted certain influence. Xiaomi Technology and Xiaomi Communications adopted a sales method of centralized reservation, by which 400,000 mobile phones were put into the market and delivered to consumers in a short time. As a new brand, Xiaomi mobile phones were released to the market until August of </w:t>
      </w:r>
      <w:r w:rsidRPr="005A1DD1">
        <w:rPr>
          <w:sz w:val="28"/>
          <w:szCs w:val="28"/>
        </w:rPr>
        <w:lastRenderedPageBreak/>
        <w:t>that year and began to accept reservations in September. Therefore, it is inappropriate to measure its popularity among the public by regular annual sales volume and market share. After the registration of the trademark "</w:t>
      </w:r>
      <w:r w:rsidRPr="005A1DD1">
        <w:rPr>
          <w:sz w:val="28"/>
          <w:szCs w:val="28"/>
        </w:rPr>
        <w:t>小米</w:t>
      </w:r>
      <w:r w:rsidRPr="005A1DD1">
        <w:rPr>
          <w:sz w:val="28"/>
          <w:szCs w:val="28"/>
        </w:rPr>
        <w:t>" and the launch of Xiaomi mobile phones, they received high popularity and attention with great influence in a short time. The trademark "</w:t>
      </w:r>
      <w:r w:rsidRPr="005A1DD1">
        <w:rPr>
          <w:sz w:val="28"/>
          <w:szCs w:val="28"/>
        </w:rPr>
        <w:t>小米</w:t>
      </w:r>
      <w:r w:rsidRPr="005A1DD1">
        <w:rPr>
          <w:sz w:val="28"/>
          <w:szCs w:val="28"/>
        </w:rPr>
        <w:t>" has been in continuous use to this day since it was approved for registration. Xiaomi Technology and Xiaomi Communications have been promoting this trademark and goods bearing this trademark nationwide for a long time in various ways and with huge expenses. Squatting and infringement of this trademark were frequently occurring and serious. The Trademark Office of the State Administration for Industry and Commerce and the Trademark Review and Adjudication Board had rejected registrations or declared disputed trademarks invalid several times, and the courts also determined that disputed trademarks constituted infringement. Therefore, the trademark "</w:t>
      </w:r>
      <w:r w:rsidRPr="005A1DD1">
        <w:rPr>
          <w:sz w:val="28"/>
          <w:szCs w:val="28"/>
        </w:rPr>
        <w:t>小米</w:t>
      </w:r>
      <w:r w:rsidRPr="005A1DD1">
        <w:rPr>
          <w:sz w:val="28"/>
          <w:szCs w:val="28"/>
        </w:rPr>
        <w:t>" had been a well-known trademark when Zhongshan Povos applied for registration of "</w:t>
      </w:r>
      <w:r w:rsidRPr="005A1DD1">
        <w:rPr>
          <w:sz w:val="28"/>
          <w:szCs w:val="28"/>
        </w:rPr>
        <w:t>小米生活</w:t>
      </w:r>
      <w:r w:rsidRPr="005A1DD1">
        <w:rPr>
          <w:sz w:val="28"/>
          <w:szCs w:val="28"/>
        </w:rPr>
        <w:t>". The act of Zhongshan Povos, Zhongshan Duling, and Mai Daliang infringed the exclusive right to use the registered trademark "</w:t>
      </w:r>
      <w:r w:rsidRPr="005A1DD1">
        <w:rPr>
          <w:sz w:val="28"/>
          <w:szCs w:val="28"/>
        </w:rPr>
        <w:t>小米</w:t>
      </w:r>
      <w:r w:rsidRPr="005A1DD1">
        <w:rPr>
          <w:sz w:val="28"/>
          <w:szCs w:val="28"/>
        </w:rPr>
        <w:t>" and constituted unfair competition.</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2. Zhongshan Povos, Zhongshan Duling, and Mai Daliang shall bear civil liabilities. Zhongshan Povos and Zhongshan Duling shall bear liabilities for stopping the infringement, eliminating the impact, and compensating for the losses. Mai Daliang, who provided assistance for the infringement of Zhongshan Povos and Zhongshan Duling, should bear </w:t>
      </w:r>
      <w:r>
        <w:rPr>
          <w:sz w:val="28"/>
          <w:szCs w:val="28"/>
        </w:rPr>
        <w:t xml:space="preserve">the </w:t>
      </w:r>
      <w:r w:rsidRPr="005A1DD1">
        <w:rPr>
          <w:sz w:val="28"/>
          <w:szCs w:val="28"/>
        </w:rPr>
        <w:t xml:space="preserve">joint liability with the two companies. In respect of the amount of damages and reasonable expenses, given that Xiaomi Technology and Xiaomi Communications requested to calculate based on the gains obtained by the infringers as a result of the infringement, and in consideration of factors including the distinctiveness and popularity of the well-known trademark as well as the time and scope of the infringement, the punitive compensation system shall apply to the act of malicious infringement in this case. The court of first instance held that Zhongshan Povos and Zhongshan </w:t>
      </w:r>
      <w:r w:rsidRPr="005A1DD1">
        <w:rPr>
          <w:sz w:val="28"/>
          <w:szCs w:val="28"/>
        </w:rPr>
        <w:lastRenderedPageBreak/>
        <w:t>Duling had obvious subjective malice towards infringement, and the circumstances and consequences were serious</w:t>
      </w:r>
      <w:r>
        <w:rPr>
          <w:sz w:val="28"/>
          <w:szCs w:val="28"/>
        </w:rPr>
        <w:t>;</w:t>
      </w:r>
      <w:r w:rsidRPr="005A1DD1">
        <w:rPr>
          <w:sz w:val="28"/>
          <w:szCs w:val="28"/>
        </w:rPr>
        <w:t xml:space="preserve"> therefore, the punitive compensation system shall apply. The comparison between the calculation results of 23 online store reviews by Xiaomi Technology and Xiaomi Communications and the data of two of the stores reviewed and collected by the court indicated that the sales volume and sales revenue calculated based on the number of reviews were inaccurate, which was far lower than the actual sales volume and sales revenue. It can be deduced that the total sales revenue of the alleged infringing products through the aforesaid stores exceeded RMB 76,153,888.8. Even if only the difference between the sales data of the two stores was calculated, the total sales revenue amounted to RMB 83,157,636. According to annual reports of two listed electrical appliance companies in China, the gross margin of the small appliance industry was 29.69%-37.01%. Zhongshan Povos and Zhongshan Duling were also enterprises that produced and sold small appliances. Although with a scale smaller than that of listed companies, their comprehensive cost should also be less than that of listed companies, and their profit margin should be greater than that of listed companies. It shall be fair and reasonable to take the median gross margin of the two listed companies in </w:t>
      </w:r>
      <w:r>
        <w:rPr>
          <w:sz w:val="28"/>
          <w:szCs w:val="28"/>
        </w:rPr>
        <w:t xml:space="preserve">the </w:t>
      </w:r>
      <w:r w:rsidRPr="005A1DD1">
        <w:rPr>
          <w:sz w:val="28"/>
          <w:szCs w:val="28"/>
        </w:rPr>
        <w:t>small appliances industry, which was 33.35%, as the profit margin of Zhongshan Povos and Zhongshan Dulin on producing and selling the alleged infringing products. Therefore, the gains should be RMB 27,733,071.6. Calculated at double the gains obtained as a result of the infringement, the damages amount should be RMB 55,466,143.2. Hence, the court fully approved the request of compensation of RMB 50 million for economic loss by Xiaomi Technology and Xiaomi Communications. Given that Xiaomi Technology and Xiaomi Communications spent a total of RMB 414,198 in attorney fees, notary fees, property preservation insurance fees, and document retrieval fees to stop the act of infringement, with invoices as evidence, and corresponding to their lawsuits and evidence submitted in accordance with the appropriate standard, the request of reasonable expenses shall also be approved.</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lastRenderedPageBreak/>
        <w:t>Accordingly, Nanjing Intermediate People's Court of first instance made a judgment and ordered Zhongshan Povos, Zhongshan Duling, and Mai Daliang to stop the infringement, compensate the economic loss of RMB 50 million and reasonable expenses of RMB 414,198, and publish a statement on the relevant websites (websites of e-commerce platforms involved with Zhongshan Povos and Zhongshan Duling, and the official website of Zhongshan Povos) to eliminate the impact. Zhongshan Povos, Zhongshan Duling, and Mai Daliang filed an appeal with Jiangsu High People’s Court against the judgment of first instance.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The Jiangsu High People’s Court,as the court of second instance, found that: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1. The registered trademark "</w:t>
      </w:r>
      <w:r w:rsidRPr="005A1DD1">
        <w:rPr>
          <w:sz w:val="28"/>
          <w:szCs w:val="28"/>
        </w:rPr>
        <w:t>小米</w:t>
      </w:r>
      <w:r w:rsidRPr="005A1DD1">
        <w:rPr>
          <w:sz w:val="28"/>
          <w:szCs w:val="28"/>
        </w:rPr>
        <w:t>" had been a well-known trademark before Zhongshan Povos applied for registration of "</w:t>
      </w:r>
      <w:r w:rsidRPr="005A1DD1">
        <w:rPr>
          <w:sz w:val="28"/>
          <w:szCs w:val="28"/>
        </w:rPr>
        <w:t>小米生活</w:t>
      </w:r>
      <w:r w:rsidRPr="005A1DD1">
        <w:rPr>
          <w:sz w:val="28"/>
          <w:szCs w:val="28"/>
        </w:rPr>
        <w:t>". When whether the trademark "</w:t>
      </w:r>
      <w:r w:rsidRPr="005A1DD1">
        <w:rPr>
          <w:sz w:val="28"/>
          <w:szCs w:val="28"/>
        </w:rPr>
        <w:t>小米</w:t>
      </w:r>
      <w:r w:rsidRPr="005A1DD1">
        <w:rPr>
          <w:sz w:val="28"/>
          <w:szCs w:val="28"/>
        </w:rPr>
        <w:t>" involved in this case was well-known is determined, the following factors should be fully taken into consideration: 1. The year 2011 marked the rapid development of mobile Internet in China. Under the business model of "hardware + software + Internet", Xiaomi Technology and Xiaomi Communications have made Xiaomi mobile phones branded mobile phones on the Internet in a short time. The time when the trademark "</w:t>
      </w:r>
      <w:r w:rsidRPr="005A1DD1">
        <w:rPr>
          <w:sz w:val="28"/>
          <w:szCs w:val="28"/>
        </w:rPr>
        <w:t>小米</w:t>
      </w:r>
      <w:r w:rsidRPr="005A1DD1">
        <w:rPr>
          <w:sz w:val="28"/>
          <w:szCs w:val="28"/>
        </w:rPr>
        <w:t>" became well known, its public awareness, and whether the trademark "</w:t>
      </w:r>
      <w:r w:rsidRPr="005A1DD1">
        <w:rPr>
          <w:sz w:val="28"/>
          <w:szCs w:val="28"/>
        </w:rPr>
        <w:t>小米</w:t>
      </w:r>
      <w:r w:rsidRPr="005A1DD1">
        <w:rPr>
          <w:sz w:val="28"/>
          <w:szCs w:val="28"/>
        </w:rPr>
        <w:t xml:space="preserve">" involved in this case was well-known shall be determined in an objective and comprehensive manner, taking into account various factors stipulated in the Article 14 of the Trademark Law and the characteristics of the mobile Internet industry, rather than by mechanically applying the stipulations concerning </w:t>
      </w:r>
      <w:r>
        <w:rPr>
          <w:rFonts w:hint="eastAsia"/>
          <w:sz w:val="28"/>
          <w:szCs w:val="28"/>
        </w:rPr>
        <w:t>the</w:t>
      </w:r>
      <w:r w:rsidRPr="005A1DD1">
        <w:rPr>
          <w:sz w:val="28"/>
          <w:szCs w:val="28"/>
        </w:rPr>
        <w:t>duration of three or five years in the Provisions for the Determination and Protection of Well-known Trademarks. The time when Zhongshan Povos applied for registration of the trademark "</w:t>
      </w:r>
      <w:r w:rsidRPr="005A1DD1">
        <w:rPr>
          <w:sz w:val="28"/>
          <w:szCs w:val="28"/>
        </w:rPr>
        <w:t>小米生活</w:t>
      </w:r>
      <w:r w:rsidRPr="005A1DD1">
        <w:rPr>
          <w:sz w:val="28"/>
          <w:szCs w:val="28"/>
        </w:rPr>
        <w:t>" was November 23, 2011. The popularity of the trademark "</w:t>
      </w:r>
      <w:r w:rsidRPr="005A1DD1">
        <w:rPr>
          <w:sz w:val="28"/>
          <w:szCs w:val="28"/>
        </w:rPr>
        <w:t>小米</w:t>
      </w:r>
      <w:r w:rsidRPr="005A1DD1">
        <w:rPr>
          <w:sz w:val="28"/>
          <w:szCs w:val="28"/>
        </w:rPr>
        <w:t xml:space="preserve">" at this time point should be determined based on a comprehensive analysis of evidence concerning the use of the </w:t>
      </w:r>
      <w:r w:rsidRPr="005A1DD1">
        <w:rPr>
          <w:sz w:val="28"/>
          <w:szCs w:val="28"/>
        </w:rPr>
        <w:lastRenderedPageBreak/>
        <w:t>trademark "</w:t>
      </w:r>
      <w:r w:rsidRPr="005A1DD1">
        <w:rPr>
          <w:sz w:val="28"/>
          <w:szCs w:val="28"/>
        </w:rPr>
        <w:t>小米</w:t>
      </w:r>
      <w:r w:rsidRPr="005A1DD1">
        <w:rPr>
          <w:sz w:val="28"/>
          <w:szCs w:val="28"/>
        </w:rPr>
        <w:t>" close to this time point, rather than being determined in an isolated or unilateral manner. Facts that can better prove the popularity of the trademark after this time point shall be taken into consideration, as appropriate. 3. The name and trademark of an enterprise jointly carry the business reputation of the enterprise. The business names of Xiaomi Technology and Xiaomi Communications are of high relevance as they both contain the characters of the registered trademark "</w:t>
      </w:r>
      <w:r w:rsidRPr="005A1DD1">
        <w:rPr>
          <w:sz w:val="28"/>
          <w:szCs w:val="28"/>
        </w:rPr>
        <w:t>小米</w:t>
      </w:r>
      <w:r w:rsidRPr="005A1DD1">
        <w:rPr>
          <w:sz w:val="28"/>
          <w:szCs w:val="28"/>
        </w:rPr>
        <w:t>". The popularity of the trademark "</w:t>
      </w:r>
      <w:r w:rsidRPr="005A1DD1">
        <w:rPr>
          <w:sz w:val="28"/>
          <w:szCs w:val="28"/>
        </w:rPr>
        <w:t>小米</w:t>
      </w:r>
      <w:r w:rsidRPr="005A1DD1">
        <w:rPr>
          <w:sz w:val="28"/>
          <w:szCs w:val="28"/>
        </w:rPr>
        <w:t>" shall be determined with appropriate considerations of the popularity and the use of the enterprise names or business names of Xiaomi Technology and Xiaomi Communications. According to the basic principles of the Trademark Law that the determination of well-known trademarks shall be conducted by individual cases, and taking into account the facts and relevant factors of this case, the trademark "</w:t>
      </w:r>
      <w:r w:rsidRPr="005A1DD1">
        <w:rPr>
          <w:sz w:val="28"/>
          <w:szCs w:val="28"/>
        </w:rPr>
        <w:t>小米</w:t>
      </w:r>
      <w:r w:rsidRPr="005A1DD1">
        <w:rPr>
          <w:sz w:val="28"/>
          <w:szCs w:val="28"/>
        </w:rPr>
        <w:t>" involved in this case was well known to the relevant public when the trademark "</w:t>
      </w:r>
      <w:r w:rsidRPr="005A1DD1">
        <w:rPr>
          <w:sz w:val="28"/>
          <w:szCs w:val="28"/>
        </w:rPr>
        <w:t>小米生活</w:t>
      </w:r>
      <w:r w:rsidRPr="005A1DD1">
        <w:rPr>
          <w:sz w:val="28"/>
          <w:szCs w:val="28"/>
        </w:rPr>
        <w:t>" was applied for registration on November 23, 2011. The judgment of first instance that the trademark "</w:t>
      </w:r>
      <w:r w:rsidRPr="005A1DD1">
        <w:rPr>
          <w:sz w:val="28"/>
          <w:szCs w:val="28"/>
        </w:rPr>
        <w:t>小米</w:t>
      </w:r>
      <w:r w:rsidRPr="005A1DD1">
        <w:rPr>
          <w:sz w:val="28"/>
          <w:szCs w:val="28"/>
        </w:rPr>
        <w:t>" had been well-known was proper.</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2. The acts of Zhongshan Povos, Zhongshan Duling, and Mai Daliang involved in this case constituted trademark infringement. The registration of the trademark "</w:t>
      </w:r>
      <w:r w:rsidRPr="005A1DD1">
        <w:rPr>
          <w:sz w:val="28"/>
          <w:szCs w:val="28"/>
        </w:rPr>
        <w:t>小米生活</w:t>
      </w:r>
      <w:r w:rsidRPr="005A1DD1">
        <w:rPr>
          <w:sz w:val="28"/>
          <w:szCs w:val="28"/>
        </w:rPr>
        <w:t>" applied by Zhongshan Povos for different categories of products imitated the well-known trademark "</w:t>
      </w:r>
      <w:r w:rsidRPr="005A1DD1">
        <w:rPr>
          <w:sz w:val="28"/>
          <w:szCs w:val="28"/>
        </w:rPr>
        <w:t>小米</w:t>
      </w:r>
      <w:r w:rsidRPr="005A1DD1">
        <w:rPr>
          <w:sz w:val="28"/>
          <w:szCs w:val="28"/>
        </w:rPr>
        <w:t>" registered by Xiaomi Technology. Zhongshan Povos and Zhongshan Duling used the trademark "</w:t>
      </w:r>
      <w:r w:rsidRPr="005A1DD1">
        <w:rPr>
          <w:sz w:val="28"/>
          <w:szCs w:val="28"/>
        </w:rPr>
        <w:t>小米生活</w:t>
      </w:r>
      <w:r w:rsidRPr="005A1DD1">
        <w:rPr>
          <w:sz w:val="28"/>
          <w:szCs w:val="28"/>
        </w:rPr>
        <w:t>" prominently at their business sites, on their websites, WeChat official accounts, alleged infringing products, or otherwise, improperly used the market reputation of the well-known trademark "</w:t>
      </w:r>
      <w:r w:rsidRPr="005A1DD1">
        <w:rPr>
          <w:sz w:val="28"/>
          <w:szCs w:val="28"/>
        </w:rPr>
        <w:t>小米</w:t>
      </w:r>
      <w:r w:rsidRPr="005A1DD1">
        <w:rPr>
          <w:sz w:val="28"/>
          <w:szCs w:val="28"/>
        </w:rPr>
        <w:t>", misled the public, and damaged interests of the well-known trademark registrant, therefore constituting trademark infringement. As shown in the result of domain name queries, the domain names "</w:t>
      </w:r>
      <w:r w:rsidRPr="005A1DD1">
        <w:rPr>
          <w:sz w:val="28"/>
          <w:szCs w:val="28"/>
        </w:rPr>
        <w:t>小米生活电器</w:t>
      </w:r>
      <w:r w:rsidRPr="005A1DD1">
        <w:rPr>
          <w:sz w:val="28"/>
          <w:szCs w:val="28"/>
        </w:rPr>
        <w:t>.com" and "xiaomi68.com" involved in this case were registered by Zhongshan Povos, and Zhongshan Duling applied these domain names to the operation of its e-commerce website. "</w:t>
      </w:r>
      <w:r w:rsidRPr="005A1DD1">
        <w:rPr>
          <w:sz w:val="28"/>
          <w:szCs w:val="28"/>
        </w:rPr>
        <w:t>小米生活电器</w:t>
      </w:r>
      <w:r w:rsidRPr="005A1DD1">
        <w:rPr>
          <w:sz w:val="28"/>
          <w:szCs w:val="28"/>
        </w:rPr>
        <w:t xml:space="preserve">" and </w:t>
      </w:r>
      <w:r w:rsidRPr="005A1DD1">
        <w:rPr>
          <w:sz w:val="28"/>
          <w:szCs w:val="28"/>
        </w:rPr>
        <w:lastRenderedPageBreak/>
        <w:t>"xiaomi" in the aforesaid two domain names were an imitation or transliteration of the well-known trademark "</w:t>
      </w:r>
      <w:r w:rsidRPr="005A1DD1">
        <w:rPr>
          <w:sz w:val="28"/>
          <w:szCs w:val="28"/>
        </w:rPr>
        <w:t>小米</w:t>
      </w:r>
      <w:r w:rsidRPr="005A1DD1">
        <w:rPr>
          <w:sz w:val="28"/>
          <w:szCs w:val="28"/>
        </w:rPr>
        <w:t>", which sufficed to mislead the relevant public and constituted trademark infringement. Mai Daliang provided corresponding facilitations for Zhongshan Povos and Zhongshan Duling to implement a series of acts of trademark infringement in his personal capacity. The judgment of first instance that Mai Daliang's behavior constituted contributory infringement was proper.</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3. The acts of Zhongshan Povos and Zhongshan Duling involved in this case constituted unfair competition. To enhance their own competitiveness, Zhongshan Povos and Zhongshan Duling imitated Xiaomi Technology and Xiaomi Communications in all aspects</w:t>
      </w:r>
      <w:r>
        <w:rPr>
          <w:sz w:val="28"/>
          <w:szCs w:val="28"/>
        </w:rPr>
        <w:t>,</w:t>
      </w:r>
      <w:r w:rsidRPr="005A1DD1">
        <w:rPr>
          <w:sz w:val="28"/>
          <w:szCs w:val="28"/>
        </w:rPr>
        <w:t xml:space="preserve"> including trademarks, slogans, colors, and fans nicknames, and deliberately created vague connections with Xiaomi Technology and Xiaomi Communications and their products. Such acts misled the consumers and improperly damaged the business credit and product reputation of Xiaomi Technology and Xiaomi Communications and their relevant consumer groups, which obviously violated the principles of honesty and good faith, and they were actually business propaganda conducted in a misleading manner and therefore constituted unfair competition.</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4. In respect of the civil liabilities, given that Zhongshan Povos and Zhongshan Duling jointly implemented the acts of trademark infringement and constituted unfair competition, both of them should bear the civil liabilities of stopping the acts of infringement, eliminating the impact, and compensating for the damages according to the law. Mai Daliang, who offered assistance to the two companies for the infringement, shall bear </w:t>
      </w:r>
      <w:r>
        <w:rPr>
          <w:sz w:val="28"/>
          <w:szCs w:val="28"/>
        </w:rPr>
        <w:t xml:space="preserve">the </w:t>
      </w:r>
      <w:r w:rsidRPr="005A1DD1">
        <w:rPr>
          <w:sz w:val="28"/>
          <w:szCs w:val="28"/>
        </w:rPr>
        <w:t>joint liability of compensation with the two companies. In respect of the determination of the amount of damages, in the first instance, Xiaomi Technology and Xiaomi Communications claimed for compensation of RMB 50 million based on the gains that the infringers had obtained as a result of infringement and the application of the punitive compensation system. Accordingly, the court of second instance held that: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lastRenderedPageBreak/>
        <w:t>Firstly, the number of reviews on the online stores could be used as a reference basis for determining the transaction volume of the products. According to the general evaluation rules of e-commerce platforms including JD.com and Taobao.com involved in this case, users can make an evaluation of the product purchased within a certain period after an order transaction has been completed, that is, the number of reviews is to a great extent equivalent to the number of transactions. In addition, based on a comparison between the actual sales data of the online direct-sale stores of Zhongshan Povos and Zhongshan Duling obtained by the court of first instance and those obtained by the court of second instance over two months later, the sales revenue calculated by the number of reviews was also less than the actual sales volume and sales amount in the same period even after the average sales revenue of two months was deducted. Hence, it shall be reasonable to use the number of reviews as a reference basis for calculating the sales volume.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Moreover, the sales revenue of the 23 stores involved in this case could be included in the scope of calculation of the gains obtained as a result of the infringement in this case. However, the total sales revenue of the distributors should not be directly used as the gains obtained as a result of the infringement in this case, and the sales revenue of the direct-sale stores of Zhongshan Povos and Zhongshan Duling and the sales revenue of the distributors should be calculated separately. By comparing the unit price of the products recorded in the purchase invoices from Zhongshan Povos provided by some distributors with the price of the products of direct-sale stores of Zhongshan Povos and Zhongshan Duling, the price discount was roughly in the range of 30% to 40%. In consideration of the content of "except for promotions, the price of supply is 35% of the online retail price (subject to the price of the Taobao store of the company)" on the official websites, the gains obtained as a result of the infringement in this case shall be calculated by 40% of the sales revenue of the distributors. Accordingly, the court determined that the total sales revenue of the 23 online stores involved in this case reached RMB 61,158,213.3. In respect of </w:t>
      </w:r>
      <w:r w:rsidRPr="005A1DD1">
        <w:rPr>
          <w:sz w:val="28"/>
          <w:szCs w:val="28"/>
        </w:rPr>
        <w:lastRenderedPageBreak/>
        <w:t>the profit margin, the judgment of first instance referred to the gross profit margin of the small appliance industry shown in the annual reports of Gree Electric Appliances Inc. of Zhuhai and Midea Group Co.,Ltd. and adopted a median of 33.35% as the profit margin of the alleged infringing products in this case, which was proper.</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Ultimately, this case met the conditions to apply the punitive compensation system. The court of first instance comprehensively considered that the three appellants had subjective malice towards infringement, and the circumstances and consequences were serious, and the punitive compensation system shall apply with both factual and legal basis. Meanwhile, the court of second instance held that the following facts and relevant factors sh</w:t>
      </w:r>
      <w:r>
        <w:rPr>
          <w:sz w:val="28"/>
          <w:szCs w:val="28"/>
        </w:rPr>
        <w:t>ould</w:t>
      </w:r>
      <w:r w:rsidRPr="005A1DD1">
        <w:rPr>
          <w:sz w:val="28"/>
          <w:szCs w:val="28"/>
        </w:rPr>
        <w:t xml:space="preserve"> be taken into account when the multiple of the amount of damages is determined: 1. Even during the second instance of this case, Zhongshan Povos and Zhongshan Duling were still publicizing and selling the alleged infringing products, showing their obvious subjective malice towards infringement. 2. Xiaomi Technology and Xiaomi Communications only purchased one product in the presence of a notary from most of the online stores involved in this case, and calculated the sales revenue based on the number of reviews of this product without taking into account the sales revenue of all infringing products in the stores. The circumstance that Zhongshan Povos and Zhongshan Duling sold and displayed a wide variety and large quantities of the alleged infringing products through and on numerous online stores, websites, and e-commerce platforms, which had constituted a large scale of infringement, shall be taken into account when the multiple of the amount of damages is determined. 3. The trademark "</w:t>
      </w:r>
      <w:r w:rsidRPr="005A1DD1">
        <w:rPr>
          <w:sz w:val="28"/>
          <w:szCs w:val="28"/>
        </w:rPr>
        <w:t>小米</w:t>
      </w:r>
      <w:r w:rsidRPr="005A1DD1">
        <w:rPr>
          <w:sz w:val="28"/>
          <w:szCs w:val="28"/>
        </w:rPr>
        <w:t xml:space="preserve">" involved in this case was a well-known trademark with </w:t>
      </w:r>
      <w:r>
        <w:rPr>
          <w:sz w:val="28"/>
          <w:szCs w:val="28"/>
        </w:rPr>
        <w:t xml:space="preserve">a </w:t>
      </w:r>
      <w:r w:rsidRPr="005A1DD1">
        <w:rPr>
          <w:sz w:val="28"/>
          <w:szCs w:val="28"/>
        </w:rPr>
        <w:t>high popularity and market influence. However, the Mi001 induction cooker and MW-806 hand-held iron (the alleged infringing products) of the brand "</w:t>
      </w:r>
      <w:r w:rsidRPr="005A1DD1">
        <w:rPr>
          <w:sz w:val="28"/>
          <w:szCs w:val="28"/>
        </w:rPr>
        <w:t>小米生活</w:t>
      </w:r>
      <w:r w:rsidRPr="005A1DD1">
        <w:rPr>
          <w:sz w:val="28"/>
          <w:szCs w:val="28"/>
        </w:rPr>
        <w:t xml:space="preserve">" were identified as unqualified products by the Shanghai Municipal Administration for Market Regulation in 2018 and 2019 respectively. As shown in reviews of the products in the stores involved in this case, some users also reported that the alleged infringing </w:t>
      </w:r>
      <w:r w:rsidRPr="005A1DD1">
        <w:rPr>
          <w:sz w:val="28"/>
          <w:szCs w:val="28"/>
        </w:rPr>
        <w:lastRenderedPageBreak/>
        <w:t>products had certain quality problems. Therefore, given that the use of the trademark "</w:t>
      </w:r>
      <w:r w:rsidRPr="005A1DD1">
        <w:rPr>
          <w:sz w:val="28"/>
          <w:szCs w:val="28"/>
        </w:rPr>
        <w:t>小米生活</w:t>
      </w:r>
      <w:r w:rsidRPr="005A1DD1">
        <w:rPr>
          <w:sz w:val="28"/>
          <w:szCs w:val="28"/>
        </w:rPr>
        <w:t>" on the alleged infringing products by Zhongshan Povos and Zhongshan Duling would lower consumers' confidence in the well-known trademark "</w:t>
      </w:r>
      <w:r w:rsidRPr="005A1DD1">
        <w:rPr>
          <w:sz w:val="28"/>
          <w:szCs w:val="28"/>
        </w:rPr>
        <w:t>小米</w:t>
      </w:r>
      <w:r w:rsidRPr="005A1DD1">
        <w:rPr>
          <w:sz w:val="28"/>
          <w:szCs w:val="28"/>
        </w:rPr>
        <w:t>" and damage the good reputation thereof to some extent, a more severe judicial punishment should be imposed for the infringement involved in this case.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Based on the above analysis and in combination with other facts found in the second instance, the court of second instance determined the amount of damages of this case based on the gains obtained as a result of the infringement and adjusted the doubled amount of damages determined by the court of first instance to </w:t>
      </w:r>
      <w:r>
        <w:rPr>
          <w:sz w:val="28"/>
          <w:szCs w:val="28"/>
        </w:rPr>
        <w:t xml:space="preserve">the </w:t>
      </w:r>
      <w:r w:rsidRPr="005A1DD1">
        <w:rPr>
          <w:sz w:val="28"/>
          <w:szCs w:val="28"/>
        </w:rPr>
        <w:t>tripled amount of damages. Based on the foregoing calculation method, the sales revenue should be RMB 61,158,213.3, and with a profit margin of 33.35%, the gains obtained as a result of the infringement should be RMB 20,396,264.1, and the amount of damages of this case should be RMB 61,188,792.4, which was three times of the gains. Therefore, the judgment of first instance fully approved the proper request of Xiaomi Technology and Xiaomi Communications for claiming a compensation of RMB 50 million. In respect of reasonable expenses, given that Xiaomi Technology and Xiaomi Communications spent a total of RMB 414,198 in attorney fees, notary fees, and other fees to stop the act of infringement, with relevant evidence including invoices and notarial certificates indicating appropriate amounts, the judgment of first instance also approved the proper request of reasonable expenses.</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The court of second instance, i.e., Jiangsu High People’s Court</w:t>
      </w:r>
      <w:r>
        <w:rPr>
          <w:sz w:val="28"/>
          <w:szCs w:val="28"/>
        </w:rPr>
        <w:t>,</w:t>
      </w:r>
      <w:r w:rsidRPr="005A1DD1">
        <w:rPr>
          <w:sz w:val="28"/>
          <w:szCs w:val="28"/>
        </w:rPr>
        <w:t xml:space="preserve"> ruled that: The appeal shall be dismissed</w:t>
      </w:r>
      <w:r>
        <w:rPr>
          <w:sz w:val="28"/>
          <w:szCs w:val="28"/>
        </w:rPr>
        <w:t>,</w:t>
      </w:r>
      <w:r w:rsidRPr="005A1DD1">
        <w:rPr>
          <w:sz w:val="28"/>
          <w:szCs w:val="28"/>
        </w:rPr>
        <w:t xml:space="preserve"> and the original judgment shall be affirmed.</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[Typical Significance]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This is the first case applying the punitive compensation system to determine the compensation amount after the revision of the Trademark Law, and also the trademark infringement case with the highest compensation amount determined by applying the punitive compensation system. Therefore, this case has been selected as one of the top ten cases handled by courts in Jiangsu </w:t>
      </w:r>
      <w:r w:rsidRPr="005A1DD1">
        <w:rPr>
          <w:sz w:val="28"/>
          <w:szCs w:val="28"/>
        </w:rPr>
        <w:lastRenderedPageBreak/>
        <w:t>Province in 2019. It is typical for reasons that: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1. This case, which comprehensively analyzed and elaborated on the considerations and calculation methods for applying the punitive compensation system, provides a practical sample for the application of the punitive compensation system. In this case, given that the infringers deliberately imitated the well-known trademark "</w:t>
      </w:r>
      <w:r w:rsidRPr="005A1DD1">
        <w:rPr>
          <w:sz w:val="28"/>
          <w:szCs w:val="28"/>
        </w:rPr>
        <w:t>小米</w:t>
      </w:r>
      <w:r w:rsidRPr="005A1DD1">
        <w:rPr>
          <w:sz w:val="28"/>
          <w:szCs w:val="28"/>
        </w:rPr>
        <w:t>" in various fields with obvious subjective malice towards infringement and in consideration of the huge amount involved in the case of infringement, and also the serious infringement circumstances and consequences, the punitive compensation system was applied in accordance with the law. Based on the calcu</w:t>
      </w:r>
      <w:r>
        <w:rPr>
          <w:sz w:val="28"/>
          <w:szCs w:val="28"/>
        </w:rPr>
        <w:t>la</w:t>
      </w:r>
      <w:r w:rsidRPr="005A1DD1">
        <w:rPr>
          <w:sz w:val="28"/>
          <w:szCs w:val="28"/>
        </w:rPr>
        <w:t xml:space="preserve">tion of the gains obtained by the defendants as a result of the infringement, the court determined </w:t>
      </w:r>
      <w:r>
        <w:rPr>
          <w:sz w:val="28"/>
          <w:szCs w:val="28"/>
        </w:rPr>
        <w:t xml:space="preserve">the </w:t>
      </w:r>
      <w:r w:rsidRPr="005A1DD1">
        <w:rPr>
          <w:sz w:val="28"/>
          <w:szCs w:val="28"/>
        </w:rPr>
        <w:t xml:space="preserve">tripled amount of damages based on the degree of subjective malice towards infringement and the infringement circumstances and consequences, and fully approved the right holder's claims of a compensation amount of RMB 50 million and of reasonable expenses over RMB 400,000, which reflects the severe crackdown on serious malicious infringements, significantly increases the cost of infringement, and protects the intellectual property rights in </w:t>
      </w:r>
      <w:r>
        <w:rPr>
          <w:sz w:val="28"/>
          <w:szCs w:val="28"/>
        </w:rPr>
        <w:t>the</w:t>
      </w:r>
      <w:r w:rsidRPr="005A1DD1">
        <w:rPr>
          <w:sz w:val="28"/>
          <w:szCs w:val="28"/>
        </w:rPr>
        <w:t xml:space="preserve"> strictest manner. In applying the punitive compensation system, the court not only considered the characteristics of sales of the infringers but also comprehensively analyzed factors that affect the multiple of the amount of damages, which is of reference significance to the application of elaborate trial thinking to determine the amount of damages and the methods of precisely applying the punitive compensation system.</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2. The determination of the well-known trademark in combination with the characteristics of this case in an innovative manner has filled the gap of the legal norms for the determination of well-known trademarks. In this case, the courts of first and second instances did not mechanically apply the stipulations concerning </w:t>
      </w:r>
      <w:r>
        <w:rPr>
          <w:sz w:val="28"/>
          <w:szCs w:val="28"/>
        </w:rPr>
        <w:t xml:space="preserve">the </w:t>
      </w:r>
      <w:r w:rsidRPr="005A1DD1">
        <w:rPr>
          <w:sz w:val="28"/>
          <w:szCs w:val="28"/>
        </w:rPr>
        <w:t xml:space="preserve">duration of three or five years of the Provisions for the Determination and Protection of Well-known Trademarks, nor did they examined the evidence proving that the trademark was indeed well known in an isolated and unilateral manner. Instead, the courts fully considered the impact of </w:t>
      </w:r>
      <w:r w:rsidRPr="005A1DD1">
        <w:rPr>
          <w:sz w:val="28"/>
          <w:szCs w:val="28"/>
        </w:rPr>
        <w:lastRenderedPageBreak/>
        <w:t xml:space="preserve">the business name of Xiaomi company with </w:t>
      </w:r>
      <w:r>
        <w:rPr>
          <w:sz w:val="28"/>
          <w:szCs w:val="28"/>
        </w:rPr>
        <w:t xml:space="preserve">a </w:t>
      </w:r>
      <w:r w:rsidRPr="005A1DD1">
        <w:rPr>
          <w:sz w:val="28"/>
          <w:szCs w:val="28"/>
        </w:rPr>
        <w:t>high popularity on the well-known trademark, the marketing characteristics of mobile phones, and the brand influence in the mobile Internet era, especially the spread of the influence of the brand "</w:t>
      </w:r>
      <w:r w:rsidRPr="005A1DD1">
        <w:rPr>
          <w:sz w:val="28"/>
          <w:szCs w:val="28"/>
        </w:rPr>
        <w:t>小米</w:t>
      </w:r>
      <w:r w:rsidRPr="005A1DD1">
        <w:rPr>
          <w:sz w:val="28"/>
          <w:szCs w:val="28"/>
        </w:rPr>
        <w:t>" involved in this case, comprehensively considered various constitutive factors of a well-known trademark as stipulated in the Trademark Law, and determined the popularity of the trademark "</w:t>
      </w:r>
      <w:r w:rsidRPr="005A1DD1">
        <w:rPr>
          <w:sz w:val="28"/>
          <w:szCs w:val="28"/>
        </w:rPr>
        <w:t>小米</w:t>
      </w:r>
      <w:r w:rsidRPr="005A1DD1">
        <w:rPr>
          <w:sz w:val="28"/>
          <w:szCs w:val="28"/>
        </w:rPr>
        <w:t>" in an objective and comprehensive manner, which provided practical experience for judicial determination of well-known trademarks.</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3. This case demonstrates a clear attitude towards the full and effective protection of well-known brands of private enterprises. The trademark "</w:t>
      </w:r>
      <w:r w:rsidRPr="005A1DD1">
        <w:rPr>
          <w:sz w:val="28"/>
          <w:szCs w:val="28"/>
        </w:rPr>
        <w:t>小米</w:t>
      </w:r>
      <w:r w:rsidRPr="005A1DD1">
        <w:rPr>
          <w:sz w:val="28"/>
          <w:szCs w:val="28"/>
        </w:rPr>
        <w:t xml:space="preserve">" is a well-known brand and has received high popularity and gained </w:t>
      </w:r>
      <w:r>
        <w:rPr>
          <w:sz w:val="28"/>
          <w:szCs w:val="28"/>
        </w:rPr>
        <w:t xml:space="preserve">a </w:t>
      </w:r>
      <w:r w:rsidRPr="005A1DD1">
        <w:rPr>
          <w:sz w:val="28"/>
          <w:szCs w:val="28"/>
        </w:rPr>
        <w:t>high reputation in the Chinese market. The application of the punitive compensation system in this case maximizes the protection of well-known trademarks created by private enterprises, maintains their commercial credit and product reputation, and improves the business environment.</w:t>
      </w:r>
    </w:p>
    <w:p w:rsidR="00824208" w:rsidRPr="005A1DD1" w:rsidRDefault="00824208" w:rsidP="00824208">
      <w:pPr>
        <w:adjustRightInd w:val="0"/>
        <w:snapToGrid w:val="0"/>
        <w:spacing w:line="312" w:lineRule="auto"/>
        <w:rPr>
          <w:rFonts w:eastAsia="黑体"/>
          <w:sz w:val="28"/>
          <w:szCs w:val="28"/>
        </w:rPr>
      </w:pPr>
      <w:r w:rsidRPr="005A1DD1">
        <w:rPr>
          <w:sz w:val="28"/>
          <w:szCs w:val="28"/>
        </w:rPr>
        <w:br w:type="page"/>
      </w:r>
      <w:r w:rsidRPr="005A1DD1">
        <w:rPr>
          <w:sz w:val="28"/>
          <w:szCs w:val="28"/>
        </w:rPr>
        <w:lastRenderedPageBreak/>
        <w:t>5. A case applying the punitive compensation system for malicious registration and use of trademarks</w:t>
      </w:r>
    </w:p>
    <w:p w:rsidR="00824208" w:rsidRPr="005A1DD1" w:rsidRDefault="00824208" w:rsidP="00824208">
      <w:pPr>
        <w:adjustRightInd w:val="0"/>
        <w:snapToGrid w:val="0"/>
        <w:spacing w:line="312" w:lineRule="auto"/>
        <w:rPr>
          <w:rFonts w:eastAsia="仿宋_GB2312"/>
          <w:sz w:val="28"/>
          <w:szCs w:val="28"/>
        </w:rPr>
      </w:pPr>
      <w:r w:rsidRPr="005A1DD1">
        <w:rPr>
          <w:sz w:val="28"/>
          <w:szCs w:val="28"/>
        </w:rPr>
        <w:t>—Bridgestone Corporation v. Liangshan Shuihu Tires Co., Ltd. et al.: Case of Dispute over Trademark Infringement</w:t>
      </w:r>
    </w:p>
    <w:p w:rsidR="00824208" w:rsidRPr="005A1DD1" w:rsidRDefault="00824208" w:rsidP="00824208">
      <w:pPr>
        <w:adjustRightInd w:val="0"/>
        <w:snapToGrid w:val="0"/>
        <w:spacing w:line="312" w:lineRule="auto"/>
        <w:ind w:firstLineChars="200" w:firstLine="560"/>
        <w:rPr>
          <w:rFonts w:eastAsia="仿宋_GB2312"/>
          <w:sz w:val="28"/>
          <w:szCs w:val="28"/>
        </w:rPr>
      </w:pP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[Case Information]</w:t>
      </w:r>
    </w:p>
    <w:p w:rsidR="00824208" w:rsidRPr="005A1DD1" w:rsidRDefault="00824208" w:rsidP="00824208">
      <w:pPr>
        <w:adjustRightInd w:val="0"/>
        <w:snapToGrid w:val="0"/>
        <w:spacing w:line="312" w:lineRule="auto"/>
        <w:ind w:leftChars="267" w:left="2241" w:hangingChars="600" w:hanging="1680"/>
        <w:rPr>
          <w:rFonts w:eastAsia="仿宋_GB2312"/>
          <w:sz w:val="28"/>
          <w:szCs w:val="28"/>
        </w:rPr>
      </w:pPr>
      <w:r w:rsidRPr="005A1DD1">
        <w:rPr>
          <w:sz w:val="28"/>
          <w:szCs w:val="28"/>
        </w:rPr>
        <w:t>Case No.:</w:t>
      </w:r>
      <w:r>
        <w:rPr>
          <w:sz w:val="28"/>
          <w:szCs w:val="28"/>
        </w:rPr>
        <w:tab/>
      </w:r>
      <w:r w:rsidRPr="005A1DD1">
        <w:rPr>
          <w:sz w:val="28"/>
          <w:szCs w:val="28"/>
        </w:rPr>
        <w:t>Suzhou Intermediate People's Court (2018) S. 05 M.C. No. 572</w:t>
      </w:r>
    </w:p>
    <w:p w:rsidR="00824208" w:rsidRPr="005A1DD1" w:rsidRDefault="00824208" w:rsidP="00824208">
      <w:pPr>
        <w:adjustRightInd w:val="0"/>
        <w:snapToGrid w:val="0"/>
        <w:spacing w:line="312" w:lineRule="auto"/>
        <w:ind w:left="1821" w:firstLine="420"/>
        <w:rPr>
          <w:rFonts w:eastAsia="仿宋_GB2312"/>
          <w:sz w:val="28"/>
          <w:szCs w:val="28"/>
        </w:rPr>
      </w:pPr>
      <w:r w:rsidRPr="005A1DD1">
        <w:rPr>
          <w:sz w:val="28"/>
          <w:szCs w:val="28"/>
        </w:rPr>
        <w:t>Jiangsu High People’s Court (2019) S.M.Z. No. 1402</w:t>
      </w:r>
    </w:p>
    <w:p w:rsidR="00824208" w:rsidRPr="005A1DD1" w:rsidRDefault="00824208" w:rsidP="00824208">
      <w:pPr>
        <w:adjustRightInd w:val="0"/>
        <w:snapToGrid w:val="0"/>
        <w:spacing w:line="312" w:lineRule="auto"/>
        <w:ind w:leftChars="267" w:left="2241" w:hangingChars="600" w:hanging="1680"/>
        <w:rPr>
          <w:rFonts w:eastAsia="仿宋_GB2312"/>
          <w:sz w:val="28"/>
          <w:szCs w:val="28"/>
        </w:rPr>
      </w:pPr>
      <w:r w:rsidRPr="005A1DD1">
        <w:rPr>
          <w:sz w:val="28"/>
          <w:szCs w:val="28"/>
        </w:rPr>
        <w:t>Plaintiff:</w:t>
      </w:r>
      <w:r>
        <w:rPr>
          <w:sz w:val="28"/>
          <w:szCs w:val="28"/>
        </w:rPr>
        <w:tab/>
      </w:r>
      <w:r w:rsidRPr="005A1DD1">
        <w:rPr>
          <w:sz w:val="28"/>
          <w:szCs w:val="28"/>
        </w:rPr>
        <w:t>Bridgestone Corporation</w:t>
      </w:r>
    </w:p>
    <w:p w:rsidR="00824208" w:rsidRPr="005A1DD1" w:rsidRDefault="00824208" w:rsidP="00824208">
      <w:pPr>
        <w:adjustRightInd w:val="0"/>
        <w:snapToGrid w:val="0"/>
        <w:spacing w:line="312" w:lineRule="auto"/>
        <w:ind w:leftChars="267" w:left="2241" w:hangingChars="600" w:hanging="1680"/>
        <w:rPr>
          <w:rFonts w:eastAsia="仿宋_GB2312"/>
          <w:sz w:val="28"/>
          <w:szCs w:val="28"/>
        </w:rPr>
      </w:pPr>
      <w:r w:rsidRPr="005A1DD1">
        <w:rPr>
          <w:sz w:val="28"/>
          <w:szCs w:val="28"/>
        </w:rPr>
        <w:t>Defendant:</w:t>
      </w:r>
      <w:r>
        <w:rPr>
          <w:sz w:val="28"/>
          <w:szCs w:val="28"/>
        </w:rPr>
        <w:tab/>
      </w:r>
      <w:r w:rsidRPr="005A1DD1">
        <w:rPr>
          <w:sz w:val="28"/>
          <w:szCs w:val="28"/>
        </w:rPr>
        <w:t>Liangsha</w:t>
      </w:r>
      <w:r>
        <w:rPr>
          <w:sz w:val="28"/>
          <w:szCs w:val="28"/>
        </w:rPr>
        <w:t>n</w:t>
      </w:r>
      <w:r w:rsidRPr="005A1DD1">
        <w:rPr>
          <w:sz w:val="28"/>
          <w:szCs w:val="28"/>
        </w:rPr>
        <w:t>Shuihu Tires Co., Ltd. and WujinHutangFengmin Auto Parts Co., Ltd.</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[Adjudication Gist]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Where </w:t>
      </w:r>
      <w:r>
        <w:rPr>
          <w:sz w:val="28"/>
          <w:szCs w:val="28"/>
        </w:rPr>
        <w:t>someone</w:t>
      </w:r>
      <w:r w:rsidRPr="005A1DD1">
        <w:rPr>
          <w:sz w:val="28"/>
          <w:szCs w:val="28"/>
        </w:rPr>
        <w:t xml:space="preserve"> maliciously registers and uses a trademark similar to a well-known trademark, the date of the infringement shall start from the date of application for the registration and the actual use of the infringing trademark, rather than from the time when the registration </w:t>
      </w:r>
      <w:r>
        <w:rPr>
          <w:sz w:val="28"/>
          <w:szCs w:val="28"/>
        </w:rPr>
        <w:t xml:space="preserve">application </w:t>
      </w:r>
      <w:r w:rsidRPr="005A1DD1">
        <w:rPr>
          <w:sz w:val="28"/>
          <w:szCs w:val="28"/>
        </w:rPr>
        <w:t>of the infringing trademark was rejected.</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A seller who sells infringing products together with genuine products should assume a higher duty of care, and generally</w:t>
      </w:r>
      <w:r>
        <w:rPr>
          <w:sz w:val="28"/>
          <w:szCs w:val="28"/>
        </w:rPr>
        <w:t>,</w:t>
      </w:r>
      <w:r w:rsidRPr="005A1DD1">
        <w:rPr>
          <w:sz w:val="28"/>
          <w:szCs w:val="28"/>
        </w:rPr>
        <w:t xml:space="preserve"> it is considered that the seller is selling infringing products knowingly.</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In determining the amount of damages for the infringement, under the circumstance where an infringer advertises that it has a large business scale which is supported by certain basic facts, the infringer shall be ordered to provide relevant evidence of the actual production and sales volume of the infringing products. If the infringer cannot provide relevant evidence, a presumption in favor of the right holder can be made.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In a trademark infringement case caused by malicious squatting of trademarks, the expenses paid by the right holder to protect its rights should include all reasonable expenses that the right holder has spent on administrative </w:t>
      </w:r>
      <w:r w:rsidRPr="005A1DD1">
        <w:rPr>
          <w:sz w:val="28"/>
          <w:szCs w:val="28"/>
        </w:rPr>
        <w:lastRenderedPageBreak/>
        <w:t>procedures</w:t>
      </w:r>
      <w:r>
        <w:rPr>
          <w:sz w:val="28"/>
          <w:szCs w:val="28"/>
        </w:rPr>
        <w:t>,</w:t>
      </w:r>
      <w:r w:rsidRPr="005A1DD1">
        <w:rPr>
          <w:sz w:val="28"/>
          <w:szCs w:val="28"/>
        </w:rPr>
        <w:t xml:space="preserve"> including trademark </w:t>
      </w:r>
      <w:r>
        <w:rPr>
          <w:sz w:val="28"/>
          <w:szCs w:val="28"/>
        </w:rPr>
        <w:t>re-examination</w:t>
      </w:r>
      <w:r w:rsidRPr="005A1DD1">
        <w:rPr>
          <w:sz w:val="28"/>
          <w:szCs w:val="28"/>
        </w:rPr>
        <w:t xml:space="preserve"> and invalidation as well as litigation.</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[Case Description]</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Bridgestone Corporation (hereinafter referred to as "Bridgestone") is a world's famous automobile tires manufacturing company. Bridgestone applied for registration of the No.382697 trademark "</w:t>
      </w:r>
      <w:r w:rsidR="008E3AEC" w:rsidRPr="008906E9">
        <w:rPr>
          <w:sz w:val="28"/>
          <w:szCs w:val="28"/>
        </w:rPr>
        <w:pict>
          <v:shape id="_x0000_i1062" type="#_x0000_t75" style="width:47.7pt;height:14.05pt">
            <v:imagedata r:id="rId23" o:title=""/>
          </v:shape>
        </w:pict>
      </w:r>
      <w:r w:rsidRPr="005A1DD1">
        <w:rPr>
          <w:sz w:val="28"/>
          <w:szCs w:val="28"/>
        </w:rPr>
        <w:t>" in April 1986 and the No.1424390 trademark "</w:t>
      </w:r>
      <w:r w:rsidR="008E3AEC" w:rsidRPr="008906E9">
        <w:rPr>
          <w:sz w:val="28"/>
          <w:szCs w:val="28"/>
        </w:rPr>
        <w:pict>
          <v:shape id="_x0000_i1063" type="#_x0000_t75" style="width:47.7pt;height:14.05pt">
            <v:imagedata r:id="rId23" o:title=""/>
          </v:shape>
        </w:pict>
      </w:r>
      <w:r w:rsidRPr="005A1DD1">
        <w:rPr>
          <w:sz w:val="28"/>
          <w:szCs w:val="28"/>
        </w:rPr>
        <w:t>" in November 1998, both of which enjoy high popularity. Liangsha</w:t>
      </w:r>
      <w:r>
        <w:rPr>
          <w:sz w:val="28"/>
          <w:szCs w:val="28"/>
        </w:rPr>
        <w:t>n</w:t>
      </w:r>
      <w:r w:rsidRPr="005A1DD1">
        <w:rPr>
          <w:sz w:val="28"/>
          <w:szCs w:val="28"/>
        </w:rPr>
        <w:t>Shuihu Tires Co., Ltd. (hereinafter referred to as "Shuihu Company") applied for registration of the trademark "</w:t>
      </w:r>
      <w:r w:rsidR="008E3AEC" w:rsidRPr="008906E9">
        <w:rPr>
          <w:sz w:val="28"/>
          <w:szCs w:val="28"/>
        </w:rPr>
        <w:pict>
          <v:shape id="_x0000_i1064" type="#_x0000_t75" style="width:42.1pt;height:16.85pt">
            <v:imagedata r:id="rId24" o:title=""/>
          </v:shape>
        </w:pict>
      </w:r>
      <w:r w:rsidRPr="005A1DD1">
        <w:rPr>
          <w:sz w:val="28"/>
          <w:szCs w:val="28"/>
        </w:rPr>
        <w:t xml:space="preserve">" in 2004. After the examination and re-examination by the Trademark Office of the State Administration for Industry and Commerce (hereinafter referred to as the "State Trademark Office") and the Trademark Review and Adjudication Board of the State Administration for Industry and Commerce (hereinafter referred to as the "Trademark Review and Adjudication Board") as well as the administrative proceedings of the Beijing Court in two trials, the trademark registration application was rejected on December 16, 2015. Since 2004, Shuihu Company has widely used the trademark </w:t>
      </w:r>
      <w:r>
        <w:rPr>
          <w:sz w:val="28"/>
          <w:szCs w:val="28"/>
        </w:rPr>
        <w:t>"</w:t>
      </w:r>
      <w:r w:rsidR="008E3AEC" w:rsidRPr="008906E9">
        <w:rPr>
          <w:sz w:val="28"/>
          <w:szCs w:val="28"/>
        </w:rPr>
        <w:pict>
          <v:shape id="_x0000_i1065" type="#_x0000_t75" style="width:42.1pt;height:16.85pt">
            <v:imagedata r:id="rId24" o:title=""/>
          </v:shape>
        </w:pict>
      </w:r>
      <w:r>
        <w:rPr>
          <w:sz w:val="28"/>
          <w:szCs w:val="28"/>
        </w:rPr>
        <w:t>"</w:t>
      </w:r>
      <w:r w:rsidRPr="005A1DD1">
        <w:rPr>
          <w:sz w:val="28"/>
          <w:szCs w:val="28"/>
        </w:rPr>
        <w:t xml:space="preserve"> on its agricultural vehicles and motorcycle tires. Bridgestone filed a lawsuit after purchasing the alleged infringing product produced by Shuihu Company from WujinHutangFengmin Auto Parts Co., Ltd. (hereinafter referred to as "Fengmin Auto Parts"), requesting that the defendant should be ordered to immediately stop the manufacturing and sales of the infringing products, and Shuihu Company should compensate RMB 3 million for Bridgestone's losses, as well as reasonable expenses of RMB 291,343 spent in attorney fees, investigation fees, notary fees, and translation fees to stop the act of infringement, with joint liability borne by Fengmin Auto Parts for compensation within an amount of RMB 100,000.</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Shuihu Company argued that: 1. The final judgment for Bridgestone's opposition to the trademark "</w:t>
      </w:r>
      <w:r w:rsidR="008E3AEC" w:rsidRPr="008906E9">
        <w:rPr>
          <w:sz w:val="28"/>
          <w:szCs w:val="28"/>
        </w:rPr>
        <w:pict>
          <v:shape id="_x0000_i1066" type="#_x0000_t75" style="width:42.1pt;height:16.85pt">
            <v:imagedata r:id="rId24" o:title=""/>
          </v:shape>
        </w:pict>
      </w:r>
      <w:r w:rsidRPr="005A1DD1">
        <w:rPr>
          <w:sz w:val="28"/>
          <w:szCs w:val="28"/>
        </w:rPr>
        <w:t>" applied for registration by Shuihu Company was made by the Beijing High People’s Court on December 16, 2015, indicating that whether "</w:t>
      </w:r>
      <w:r w:rsidR="008E3AEC" w:rsidRPr="008906E9">
        <w:rPr>
          <w:sz w:val="28"/>
          <w:szCs w:val="28"/>
        </w:rPr>
        <w:pict>
          <v:shape id="_x0000_i1067" type="#_x0000_t75" style="width:42.1pt;height:16.85pt">
            <v:imagedata r:id="rId24" o:title=""/>
          </v:shape>
        </w:pict>
      </w:r>
      <w:r w:rsidRPr="005A1DD1">
        <w:rPr>
          <w:sz w:val="28"/>
          <w:szCs w:val="28"/>
        </w:rPr>
        <w:t>" is similar to the trademark "</w:t>
      </w:r>
      <w:r w:rsidRPr="005A1DD1">
        <w:rPr>
          <w:sz w:val="28"/>
          <w:szCs w:val="28"/>
        </w:rPr>
        <w:t>普利司通</w:t>
      </w:r>
      <w:r w:rsidRPr="005A1DD1">
        <w:rPr>
          <w:sz w:val="28"/>
          <w:szCs w:val="28"/>
        </w:rPr>
        <w:t xml:space="preserve">" </w:t>
      </w:r>
      <w:r w:rsidRPr="005A1DD1">
        <w:rPr>
          <w:sz w:val="28"/>
          <w:szCs w:val="28"/>
        </w:rPr>
        <w:lastRenderedPageBreak/>
        <w:t>remains controversial. Before the final judgment was made, Shuihu Company did not constitute the infringement. 2. Shuihu Company used "</w:t>
      </w:r>
      <w:r w:rsidRPr="005A1DD1">
        <w:rPr>
          <w:sz w:val="28"/>
          <w:szCs w:val="28"/>
        </w:rPr>
        <w:t>福力思通</w:t>
      </w:r>
      <w:r w:rsidRPr="005A1DD1">
        <w:rPr>
          <w:sz w:val="28"/>
          <w:szCs w:val="28"/>
        </w:rPr>
        <w:t>" on the motorcycle tires and agricultural tricycle tires that it manufactured, while the products approved for the use of the trademark "</w:t>
      </w:r>
      <w:r w:rsidRPr="005A1DD1">
        <w:rPr>
          <w:sz w:val="28"/>
          <w:szCs w:val="28"/>
        </w:rPr>
        <w:t>普利司通</w:t>
      </w:r>
      <w:r w:rsidRPr="005A1DD1">
        <w:rPr>
          <w:sz w:val="28"/>
          <w:szCs w:val="28"/>
        </w:rPr>
        <w:t>" did not include motorcycle tires and agricultural tricycle tires</w:t>
      </w:r>
      <w:r>
        <w:rPr>
          <w:sz w:val="28"/>
          <w:szCs w:val="28"/>
        </w:rPr>
        <w:t>;</w:t>
      </w:r>
      <w:r w:rsidRPr="005A1DD1">
        <w:rPr>
          <w:sz w:val="28"/>
          <w:szCs w:val="28"/>
        </w:rPr>
        <w:t xml:space="preserve"> therefore, the two trademarks were not used on the same products. 3. Shuihu Company was shut down due to environmental issues on December 20, 2017, since when the act of production had never been conducted.</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[Decision of the Court]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Suzhou Intermediate People's Court of first instance held that: </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I. </w:t>
      </w:r>
      <w:r>
        <w:rPr>
          <w:sz w:val="28"/>
          <w:szCs w:val="28"/>
        </w:rPr>
        <w:t>The d</w:t>
      </w:r>
      <w:r w:rsidRPr="005A1DD1">
        <w:rPr>
          <w:sz w:val="28"/>
          <w:szCs w:val="28"/>
        </w:rPr>
        <w:t>ispute over infringement in this case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With regard to the dispute over </w:t>
      </w:r>
      <w:r>
        <w:rPr>
          <w:sz w:val="28"/>
          <w:szCs w:val="28"/>
        </w:rPr>
        <w:t xml:space="preserve">the </w:t>
      </w:r>
      <w:r w:rsidRPr="005A1DD1">
        <w:rPr>
          <w:sz w:val="28"/>
          <w:szCs w:val="28"/>
        </w:rPr>
        <w:t>category of commodity, the alleged infringing products are agricultural vehicle tires and motorcycle tires. The categories of commodities approved for the use of the No. 382697 Trademark "</w:t>
      </w:r>
      <w:r w:rsidR="008E3AEC" w:rsidRPr="008906E9">
        <w:rPr>
          <w:sz w:val="28"/>
          <w:szCs w:val="28"/>
        </w:rPr>
        <w:pict>
          <v:shape id="_x0000_i1068" type="#_x0000_t75" style="width:47.7pt;height:14.05pt">
            <v:imagedata r:id="rId23" o:title=""/>
          </v:shape>
        </w:pict>
      </w:r>
      <w:r w:rsidRPr="005A1DD1">
        <w:rPr>
          <w:sz w:val="28"/>
          <w:szCs w:val="28"/>
        </w:rPr>
        <w:t>" involved in the case include the tires of Category 12. Since the No. 382697 Trademark was applied for registration as early as in 1986, the categories of the commodities used for trademark registration at that time were not detailed enough. Moreover, the agricultural vehicle tires and motorcycle tires are not listed as a separate category in the prevailing Table for the Classification of Similar Products and Services</w:t>
      </w:r>
      <w:r>
        <w:rPr>
          <w:sz w:val="28"/>
          <w:szCs w:val="28"/>
        </w:rPr>
        <w:t>;</w:t>
      </w:r>
      <w:r w:rsidRPr="005A1DD1">
        <w:rPr>
          <w:sz w:val="28"/>
          <w:szCs w:val="28"/>
        </w:rPr>
        <w:t xml:space="preserve"> therefore, the "tires" approved for the use of the No. 382697 Trademark shall include agricultural vehicle tires and motorcycle tires. Therefore, the alleged infringing products and the commodities approved for the use of the No. 382697 Trademark are identical commodities. The categories of commodities approved for using the No. 1424390 Trademark "</w:t>
      </w:r>
      <w:r w:rsidR="008E3AEC" w:rsidRPr="008906E9">
        <w:rPr>
          <w:sz w:val="28"/>
          <w:szCs w:val="28"/>
        </w:rPr>
        <w:pict>
          <v:shape id="_x0000_i1069" type="#_x0000_t75" style="width:1in;height:16.85pt">
            <v:imagedata r:id="rId25" o:title=""/>
          </v:shape>
        </w:pict>
      </w:r>
      <w:r w:rsidRPr="005A1DD1">
        <w:rPr>
          <w:sz w:val="28"/>
          <w:szCs w:val="28"/>
        </w:rPr>
        <w:t xml:space="preserve">" include the tires (for vehicles) and automotive tires of Category 12. According to the general terminology, vehicles include motor vehicles and non-motor vehicles. Article III of the Provisional Regulations of the People's Republic of China on Vehicle Purchase Tax clearly stipulates that "vehicles" include motorcycles and agricultural transport vehicles. Therefore, both agricultural vehicles and motorcycles belong to the category of vehicles. </w:t>
      </w:r>
      <w:r w:rsidRPr="005A1DD1">
        <w:rPr>
          <w:sz w:val="28"/>
          <w:szCs w:val="28"/>
        </w:rPr>
        <w:lastRenderedPageBreak/>
        <w:t>However, the tires of agricultural vehicles or motorcycles are not listed as a separate category in the prevailing Table for the Classification of Similar Products and Services. Therefore, the alleged infringing products and the commodities approved for the use of the No. 1424390 Trademark are identical commodities.</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As for the dispute about similarity, Bridgestone's trademark involved in the case has a high popularity in the Chinese market. The alleged infringing logos consist of "</w:t>
      </w:r>
      <w:r w:rsidRPr="005A1DD1">
        <w:rPr>
          <w:sz w:val="28"/>
          <w:szCs w:val="28"/>
        </w:rPr>
        <w:t>福力思通</w:t>
      </w:r>
      <w:r w:rsidRPr="005A1DD1">
        <w:rPr>
          <w:sz w:val="28"/>
          <w:szCs w:val="28"/>
        </w:rPr>
        <w:t>" and "FULISITONG". Thereinto, "</w:t>
      </w:r>
      <w:r w:rsidRPr="005A1DD1">
        <w:rPr>
          <w:sz w:val="28"/>
          <w:szCs w:val="28"/>
        </w:rPr>
        <w:t>福力思通</w:t>
      </w:r>
      <w:r w:rsidRPr="005A1DD1">
        <w:rPr>
          <w:sz w:val="28"/>
          <w:szCs w:val="28"/>
        </w:rPr>
        <w:t>" and the No. 382697 Trademark "</w:t>
      </w:r>
      <w:r w:rsidR="008E3AEC" w:rsidRPr="008906E9">
        <w:rPr>
          <w:sz w:val="28"/>
          <w:szCs w:val="28"/>
        </w:rPr>
        <w:pict>
          <v:shape id="_x0000_i1070" type="#_x0000_t75" style="width:47.7pt;height:14.05pt">
            <v:imagedata r:id="rId23" o:title=""/>
          </v:shape>
        </w:pict>
      </w:r>
      <w:r w:rsidRPr="005A1DD1">
        <w:rPr>
          <w:sz w:val="28"/>
          <w:szCs w:val="28"/>
        </w:rPr>
        <w:t>" are highly similar in pronunciation. The font of the logo "FULISITONG" used by the alleged infringing products is highly similar to the No. 1424390 Trademark "</w:t>
      </w:r>
      <w:r w:rsidR="008E3AEC" w:rsidRPr="008906E9">
        <w:rPr>
          <w:sz w:val="28"/>
          <w:szCs w:val="28"/>
        </w:rPr>
        <w:pict>
          <v:shape id="_x0000_i1071" type="#_x0000_t75" style="width:1in;height:16.85pt">
            <v:imagedata r:id="rId25" o:title=""/>
          </v:shape>
        </w:pict>
      </w:r>
      <w:r w:rsidRPr="005A1DD1">
        <w:rPr>
          <w:sz w:val="28"/>
          <w:szCs w:val="28"/>
        </w:rPr>
        <w:t xml:space="preserve">" in </w:t>
      </w:r>
      <w:r>
        <w:rPr>
          <w:sz w:val="28"/>
          <w:szCs w:val="28"/>
        </w:rPr>
        <w:t xml:space="preserve">a </w:t>
      </w:r>
      <w:r w:rsidRPr="005A1DD1">
        <w:rPr>
          <w:sz w:val="28"/>
          <w:szCs w:val="28"/>
        </w:rPr>
        <w:t>visual sense, and the pronunciation thereof is highly similar to "Bridgestone". In view of the high popularity of the two registered trademarks involved in the case, whether "</w:t>
      </w:r>
      <w:r w:rsidRPr="005A1DD1">
        <w:rPr>
          <w:sz w:val="28"/>
          <w:szCs w:val="28"/>
        </w:rPr>
        <w:t>福力思通</w:t>
      </w:r>
      <w:r w:rsidRPr="005A1DD1">
        <w:rPr>
          <w:sz w:val="28"/>
          <w:szCs w:val="28"/>
        </w:rPr>
        <w:t>" and "FULISITONG" are used in a combined manner or used separately on tire products, it will lead to confusion and misidentification of the source of the products by the relevant public.</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To sum up, the use of the logos "</w:t>
      </w:r>
      <w:r w:rsidR="008E3AEC" w:rsidRPr="008906E9">
        <w:rPr>
          <w:sz w:val="28"/>
          <w:szCs w:val="28"/>
        </w:rPr>
        <w:pict>
          <v:shape id="_x0000_i1072" type="#_x0000_t75" style="width:42.1pt;height:16.85pt">
            <v:imagedata r:id="rId24" o:title=""/>
          </v:shape>
        </w:pict>
      </w:r>
      <w:r w:rsidRPr="005A1DD1">
        <w:rPr>
          <w:sz w:val="28"/>
          <w:szCs w:val="28"/>
        </w:rPr>
        <w:t>", "</w:t>
      </w:r>
      <w:r w:rsidRPr="005A1DD1">
        <w:rPr>
          <w:sz w:val="28"/>
          <w:szCs w:val="28"/>
        </w:rPr>
        <w:t>福力思通</w:t>
      </w:r>
      <w:r w:rsidRPr="005A1DD1">
        <w:rPr>
          <w:sz w:val="28"/>
          <w:szCs w:val="28"/>
        </w:rPr>
        <w:t>", and "FULISITONG" on the alleged infringing products and for the publicity thereof by Shuihu Company is an unauthorized use of trademarks similar to the two registered trademarks involved in the case on the same products, which is prone to confusion. The behavior of Shuihu Company constitutes trademark infringement.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II. </w:t>
      </w:r>
      <w:r>
        <w:rPr>
          <w:sz w:val="28"/>
          <w:szCs w:val="28"/>
        </w:rPr>
        <w:t>The d</w:t>
      </w:r>
      <w:r w:rsidRPr="005A1DD1">
        <w:rPr>
          <w:sz w:val="28"/>
          <w:szCs w:val="28"/>
        </w:rPr>
        <w:t>ispute over infringement liability</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Based on the findings identified in the trial, the fact that Shuihu Company actually stopped production at the end of 2017 is admissible. However, in this case, it is still necessary to order Shuihu Company to stop the infringing act, so as to clarify its legal obligations, including but not limited to not continu</w:t>
      </w:r>
      <w:r>
        <w:rPr>
          <w:sz w:val="28"/>
          <w:szCs w:val="28"/>
        </w:rPr>
        <w:t>e</w:t>
      </w:r>
      <w:r w:rsidRPr="005A1DD1">
        <w:rPr>
          <w:sz w:val="28"/>
          <w:szCs w:val="28"/>
        </w:rPr>
        <w:t xml:space="preserve"> using the alleged infringing logos on its products manufactured and sold and in the publicity activities. The products sold by Fengmin Auto Parts source from Shuihu Company. The source is clear, but the defense for legitimate source is </w:t>
      </w:r>
      <w:r w:rsidRPr="005A1DD1">
        <w:rPr>
          <w:sz w:val="28"/>
          <w:szCs w:val="28"/>
        </w:rPr>
        <w:lastRenderedPageBreak/>
        <w:t>untenable. Fengmin Auto Parts sells and wholesales genuine "Bridgestone" tires</w:t>
      </w:r>
      <w:r>
        <w:rPr>
          <w:sz w:val="28"/>
          <w:szCs w:val="28"/>
        </w:rPr>
        <w:t>;</w:t>
      </w:r>
      <w:r w:rsidRPr="005A1DD1">
        <w:rPr>
          <w:sz w:val="28"/>
          <w:szCs w:val="28"/>
        </w:rPr>
        <w:t xml:space="preserve"> therefore, it should know the popularity of the trademark involved in this case. In view of the similarity between the alleged infringing logos and the trademark of Bridgestone Company, Fengmin Auto Parts should pay attention to it and bear the corresponding examination obligation. However, the trademark application status of "</w:t>
      </w:r>
      <w:r w:rsidR="008E3AEC" w:rsidRPr="008906E9">
        <w:rPr>
          <w:sz w:val="28"/>
          <w:szCs w:val="28"/>
        </w:rPr>
        <w:pict>
          <v:shape id="_x0000_i1073" type="#_x0000_t75" style="width:42.1pt;height:16.85pt">
            <v:imagedata r:id="rId24" o:title=""/>
          </v:shape>
        </w:pict>
      </w:r>
      <w:r w:rsidRPr="005A1DD1">
        <w:rPr>
          <w:sz w:val="28"/>
          <w:szCs w:val="28"/>
        </w:rPr>
        <w:t>" is publicly available</w:t>
      </w:r>
      <w:r>
        <w:rPr>
          <w:sz w:val="28"/>
          <w:szCs w:val="28"/>
        </w:rPr>
        <w:t>;</w:t>
      </w:r>
      <w:r w:rsidRPr="005A1DD1">
        <w:rPr>
          <w:sz w:val="28"/>
          <w:szCs w:val="28"/>
        </w:rPr>
        <w:t xml:space="preserve"> therefore, it is difficult to determine that Fengmin Auto Parts was not clear about the infringement of the alleged infringing products during the sales process. The sales behavior of Fengmin Auto Parts objectively expanded the scope of the infringement of Shuihu Company and brought greater economic loss to Bridgestone Company. Bridgestone Company's request that Fengmin Auto Parts, according to </w:t>
      </w:r>
      <w:r w:rsidRPr="002F3FB6">
        <w:rPr>
          <w:sz w:val="28"/>
          <w:szCs w:val="28"/>
        </w:rPr>
        <w:t>the circumstances of its sale</w:t>
      </w:r>
      <w:r w:rsidRPr="005A1DD1">
        <w:rPr>
          <w:sz w:val="28"/>
          <w:szCs w:val="28"/>
        </w:rPr>
        <w:t>, should bear part of the joint liability for the infringement-caused compensation of Shuihu Company has lawfully recognized evidence</w:t>
      </w:r>
      <w:r>
        <w:rPr>
          <w:sz w:val="28"/>
          <w:szCs w:val="28"/>
        </w:rPr>
        <w:t>;</w:t>
      </w:r>
      <w:r w:rsidRPr="005A1DD1">
        <w:rPr>
          <w:sz w:val="28"/>
          <w:szCs w:val="28"/>
        </w:rPr>
        <w:t xml:space="preserve"> therefore, the court decides to support the request.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III. Amount of infringement-caused compensation</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The infringement-caused compensation amount of RMB three million claimed by Bridgestone Company has </w:t>
      </w:r>
      <w:r>
        <w:rPr>
          <w:sz w:val="28"/>
          <w:szCs w:val="28"/>
        </w:rPr>
        <w:t xml:space="preserve">a </w:t>
      </w:r>
      <w:r w:rsidRPr="005A1DD1">
        <w:rPr>
          <w:sz w:val="28"/>
          <w:szCs w:val="28"/>
        </w:rPr>
        <w:t>sufficient and reasonable basis and is fully supported. The considerations are as follows: 1. The duration of the act of infringement. In 2004, Shuihu Company applied for registration of the trademark "</w:t>
      </w:r>
      <w:r w:rsidR="008E3AEC" w:rsidRPr="008906E9">
        <w:rPr>
          <w:sz w:val="28"/>
          <w:szCs w:val="28"/>
        </w:rPr>
        <w:pict>
          <v:shape id="_x0000_i1074" type="#_x0000_t75" style="width:42.1pt;height:16.85pt">
            <v:imagedata r:id="rId24" o:title=""/>
          </v:shape>
        </w:pict>
      </w:r>
      <w:r w:rsidRPr="005A1DD1">
        <w:rPr>
          <w:sz w:val="28"/>
          <w:szCs w:val="28"/>
        </w:rPr>
        <w:t xml:space="preserve">" and confirmed in court that it began to use the trademark since the application was filed. As of 2017, the act of infringement lasted for more than ten years. 2. Production and </w:t>
      </w:r>
      <w:r>
        <w:rPr>
          <w:sz w:val="28"/>
          <w:szCs w:val="28"/>
        </w:rPr>
        <w:t xml:space="preserve">the </w:t>
      </w:r>
      <w:r w:rsidRPr="005A1DD1">
        <w:rPr>
          <w:sz w:val="28"/>
          <w:szCs w:val="28"/>
        </w:rPr>
        <w:t xml:space="preserve">business scale of Shuihu Company. Shuihu Company advertises on its official website that it has first-class design, research and development, and production capacity, with an annual output of 300 thousand agricultural vehicle tires of nearly 100 specifications in two major categories and three major series as well as one million motorcycle tires. In the court hearing, Shuihu Company argued that the foregoing advertisement was exaggerated, but it did not provide any evidence for its actual production or sales volume or business scale. The distribution contract submitted by ShuihuCompany in the administrative lawsuit case of trademark objection </w:t>
      </w:r>
      <w:r w:rsidRPr="005A1DD1">
        <w:rPr>
          <w:sz w:val="28"/>
          <w:szCs w:val="28"/>
        </w:rPr>
        <w:lastRenderedPageBreak/>
        <w:t>shows that the total distribution amount of its products in only three years had reached RMB 65.7 million, which suffices to prove its production and sales scale. 3. The popularity of the two involved trademarks and the malicious infringement of Shuihu Company. Bridgestone's tire products have entered the Chinese market at least in the 1980s and gradually formed a high market popularity. Shuihu Company's application for registration and use of the trademark "</w:t>
      </w:r>
      <w:r w:rsidR="008E3AEC" w:rsidRPr="008906E9">
        <w:rPr>
          <w:sz w:val="28"/>
          <w:szCs w:val="28"/>
        </w:rPr>
        <w:pict>
          <v:shape id="_x0000_i1075" type="#_x0000_t75" style="width:42.1pt;height:16.85pt">
            <v:imagedata r:id="rId24" o:title=""/>
          </v:shape>
        </w:pict>
      </w:r>
      <w:r w:rsidRPr="005A1DD1">
        <w:rPr>
          <w:sz w:val="28"/>
          <w:szCs w:val="28"/>
        </w:rPr>
        <w:t>" shows its subjective intention of taking advantage of the famous brand. On November 25, 2013, the trademark registration application of Shuihu Company was rejected by the National Trademark Review and Adjudication Board on the ground that the trademark applied for registration is similar to the trademark of Bridgestone Company involved in this case. The effective administrative judgment thereafter again confirmed that the trademark "</w:t>
      </w:r>
      <w:r w:rsidR="008E3AEC" w:rsidRPr="008906E9">
        <w:rPr>
          <w:sz w:val="28"/>
          <w:szCs w:val="28"/>
        </w:rPr>
        <w:pict>
          <v:shape id="_x0000_i1076" type="#_x0000_t75" style="width:42.1pt;height:16.85pt">
            <v:imagedata r:id="rId24" o:title=""/>
          </v:shape>
        </w:pict>
      </w:r>
      <w:r w:rsidRPr="005A1DD1">
        <w:rPr>
          <w:sz w:val="28"/>
          <w:szCs w:val="28"/>
        </w:rPr>
        <w:t>" and the trademark "Bridgestone" are similar trademarks on the same or similar products. However, Shuihu Company continued using it</w:t>
      </w:r>
      <w:r>
        <w:rPr>
          <w:sz w:val="28"/>
          <w:szCs w:val="28"/>
        </w:rPr>
        <w:t>;</w:t>
      </w:r>
      <w:r w:rsidRPr="005A1DD1">
        <w:rPr>
          <w:sz w:val="28"/>
          <w:szCs w:val="28"/>
        </w:rPr>
        <w:t xml:space="preserve"> therefore, its subsequent act constitutes malicious infringement. When the amount of compensation with regard to its subsequent malicious infringement is determined, punitive compensation can be applied to increase the amount of compensation.</w:t>
      </w:r>
    </w:p>
    <w:p w:rsidR="00824208" w:rsidRPr="005A1DD1" w:rsidRDefault="00824208" w:rsidP="00824208">
      <w:pPr>
        <w:adjustRightInd w:val="0"/>
        <w:snapToGrid w:val="0"/>
        <w:spacing w:line="312" w:lineRule="auto"/>
        <w:ind w:firstLineChars="200" w:firstLine="560"/>
        <w:rPr>
          <w:sz w:val="28"/>
          <w:szCs w:val="28"/>
        </w:rPr>
      </w:pPr>
      <w:r w:rsidRPr="005A1DD1">
        <w:rPr>
          <w:sz w:val="28"/>
          <w:szCs w:val="28"/>
        </w:rPr>
        <w:t>Bridgestone Company, in order to defend its rights in this case, has to pay the corresponding investigation fees, notarial fees, attorney fees, and other costs arising from the trademark objection, the administrative lawsuit, and the dispute over infringement in this case. Therefore, the court gives full support to the reasonable expenditure of RMB 291,343 claimed by Bridgestone Company to safeguard its rights.</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With regard to the amount of joint and several liability of compensation that Fengmin Auto Parts ought to bear, the "List of Freighted Commodities" mentioned in this case suffices to show that Fengmin Auto Parts has a large sales volume and its business activities are of wholesale nature. Therefore, the joint and several liability of compensation of RMB 100,000 claimed by Bridgestone Company is within a reasonable range.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lastRenderedPageBreak/>
        <w:t>To sum up, the court of first instance ruled that: I. Shuihu Company and Fengmin Auto Parts shall immediately stop the acts of infringing the exclusive rights of the registered trademarks No. 382697 "</w:t>
      </w:r>
      <w:r w:rsidR="008E3AEC" w:rsidRPr="008906E9">
        <w:rPr>
          <w:sz w:val="28"/>
          <w:szCs w:val="28"/>
        </w:rPr>
        <w:pict>
          <v:shape id="_x0000_i1077" type="#_x0000_t75" style="width:47.7pt;height:14.05pt">
            <v:imagedata r:id="rId23" o:title=""/>
          </v:shape>
        </w:pict>
      </w:r>
      <w:r w:rsidRPr="005A1DD1">
        <w:rPr>
          <w:sz w:val="28"/>
          <w:szCs w:val="28"/>
        </w:rPr>
        <w:t>" and No. 1424390 "</w:t>
      </w:r>
      <w:r w:rsidR="008E3AEC" w:rsidRPr="008906E9">
        <w:rPr>
          <w:sz w:val="28"/>
          <w:szCs w:val="28"/>
        </w:rPr>
        <w:pict>
          <v:shape id="_x0000_i1078" type="#_x0000_t75" style="width:47.7pt;height:14.05pt">
            <v:imagedata r:id="rId23" o:title=""/>
          </v:shape>
        </w:pict>
      </w:r>
      <w:r w:rsidRPr="005A1DD1">
        <w:rPr>
          <w:sz w:val="28"/>
          <w:szCs w:val="28"/>
        </w:rPr>
        <w:t>" of Bridgestone Company; II. Shuihu Company shall, within 15 days from the effective date of the judgment, compensate Bridgestone Company for its economic losses and reasonable expenses for rights protection totaling RMB 3,291,343 and Fengmin Auto Parts shall bear joint and several liability of compensation within the amount of RMB 100,000.</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After the judgment of first instance was pronounced, Shuihu Company appealed to Jiangsu High People’s Court. However, as Shuihu Company did not pay the appeal fee, the appeal was automatically withdrawn in the second instance.</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[Typical Significance]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This is a typical case in which the infringer maliciously registered trademarks similar to those of an international</w:t>
      </w:r>
      <w:r>
        <w:rPr>
          <w:sz w:val="28"/>
          <w:szCs w:val="28"/>
        </w:rPr>
        <w:t>ly</w:t>
      </w:r>
      <w:r w:rsidRPr="005A1DD1">
        <w:rPr>
          <w:sz w:val="28"/>
          <w:szCs w:val="28"/>
        </w:rPr>
        <w:t xml:space="preserve"> famous brand and produced and sold the infringing products. The judgment of this case effectively stopped and punished the illegal behaviors of violating the principle of good faith, clinging to famous brands, and maliciously registering and using similar trademarks to seek illegal interests, standardized the business operations of market players, and reflected the value orientation of the strictest protection of intellectual property rights. Its typicality also lies in the comprehensive examination and identification of the infringer's subjective malice, and the determination of the amount of punitive compensation based thereon. The details are as follows:</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1. Identification of malicious infringement by the manufacturer and distributor. The court considered that: Bridgestone's tire products have entered the Chinese market at least in the 1980s, and the brand has an extremely high market popularity. However, Shuihu Company, as a peer, applied to register a similar trademark "</w:t>
      </w:r>
      <w:r w:rsidR="008E3AEC" w:rsidRPr="008906E9">
        <w:rPr>
          <w:sz w:val="28"/>
          <w:szCs w:val="28"/>
        </w:rPr>
        <w:pict>
          <v:shape id="_x0000_i1079" type="#_x0000_t75" style="width:42.1pt;height:16.85pt">
            <v:imagedata r:id="rId24" o:title=""/>
          </v:shape>
        </w:pict>
      </w:r>
      <w:r w:rsidRPr="005A1DD1">
        <w:rPr>
          <w:sz w:val="28"/>
          <w:szCs w:val="28"/>
        </w:rPr>
        <w:t xml:space="preserve">" and started using it in 2004. In the process when the trademark application was examined by the Trademark Office and re-examined by the National Trademark Review and Adjudication Board, and when the </w:t>
      </w:r>
      <w:r w:rsidRPr="005A1DD1">
        <w:rPr>
          <w:sz w:val="28"/>
          <w:szCs w:val="28"/>
        </w:rPr>
        <w:lastRenderedPageBreak/>
        <w:t xml:space="preserve">administrative litigation was handled by courts of the first and second instances in Beijing, and even after the trademark registration was rejected on the ground that the trademark applied for registration is similar to the registered trademarks of the </w:t>
      </w:r>
      <w:r>
        <w:rPr>
          <w:sz w:val="28"/>
          <w:szCs w:val="28"/>
        </w:rPr>
        <w:t>right holder</w:t>
      </w:r>
      <w:r w:rsidRPr="005A1DD1">
        <w:rPr>
          <w:sz w:val="28"/>
          <w:szCs w:val="28"/>
        </w:rPr>
        <w:t xml:space="preserve">, Shuihu Company had continued using its trademark. Therefore, its application and use of the trademark was malicious. In addition, from the point of view that the tire distributor ought to pay more attention to the sales of highly popular products, its mixed sale of infringing products and genuine products was recognized as knowing infringement, and the defense for legal source was denied. In view of the foregoing serious malicious infringement, the judgment applied </w:t>
      </w:r>
      <w:r>
        <w:rPr>
          <w:sz w:val="28"/>
          <w:szCs w:val="28"/>
        </w:rPr>
        <w:t xml:space="preserve">for </w:t>
      </w:r>
      <w:r w:rsidRPr="005A1DD1">
        <w:rPr>
          <w:sz w:val="28"/>
          <w:szCs w:val="28"/>
        </w:rPr>
        <w:t>punitive compensation when the amount of infringement-caused compensation was determined to significantly increase the illegal cost of the infringer.</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2. In determining compensation, the following rules are established: First of all, under the circumstance where the performance information in the infringer's advertisement was supported by certain basic facts, the infringer, if it denied the content of the advertisement, shall bear the obligation of information disclosure and provide evidence of its actual production and sales volume. In the case of its inability to provide such evidence, a presumption against the infringer could be made. Secondly, under the circumstance where the infringer maliciously applied for the registration of a trademark, and when the reasonable expenses arising from the </w:t>
      </w:r>
      <w:r>
        <w:rPr>
          <w:sz w:val="28"/>
          <w:szCs w:val="28"/>
        </w:rPr>
        <w:t>right holder</w:t>
      </w:r>
      <w:r w:rsidRPr="005A1DD1">
        <w:rPr>
          <w:sz w:val="28"/>
          <w:szCs w:val="28"/>
        </w:rPr>
        <w:t xml:space="preserve">'s rights protection was determined, the court further </w:t>
      </w:r>
      <w:r>
        <w:rPr>
          <w:sz w:val="28"/>
          <w:szCs w:val="28"/>
        </w:rPr>
        <w:t xml:space="preserve">also </w:t>
      </w:r>
      <w:r w:rsidRPr="005A1DD1">
        <w:rPr>
          <w:sz w:val="28"/>
          <w:szCs w:val="28"/>
        </w:rPr>
        <w:t xml:space="preserve">considered other rights protection activities of the </w:t>
      </w:r>
      <w:r>
        <w:rPr>
          <w:sz w:val="28"/>
          <w:szCs w:val="28"/>
        </w:rPr>
        <w:t>right holder</w:t>
      </w:r>
      <w:r w:rsidRPr="005A1DD1">
        <w:rPr>
          <w:sz w:val="28"/>
          <w:szCs w:val="28"/>
        </w:rPr>
        <w:t xml:space="preserve"> other than the lawsuit in this case, and comprehensively considered the necessary expenses arising from the </w:t>
      </w:r>
      <w:r>
        <w:rPr>
          <w:sz w:val="28"/>
          <w:szCs w:val="28"/>
        </w:rPr>
        <w:t>right holder</w:t>
      </w:r>
      <w:r w:rsidRPr="005A1DD1">
        <w:rPr>
          <w:sz w:val="28"/>
          <w:szCs w:val="28"/>
        </w:rPr>
        <w:t xml:space="preserve">'s rights protection in the trademark </w:t>
      </w:r>
      <w:r>
        <w:rPr>
          <w:sz w:val="28"/>
          <w:szCs w:val="28"/>
        </w:rPr>
        <w:t>re-examination</w:t>
      </w:r>
      <w:r w:rsidRPr="005A1DD1">
        <w:rPr>
          <w:sz w:val="28"/>
          <w:szCs w:val="28"/>
        </w:rPr>
        <w:t xml:space="preserve">, invalid administrative examination, and other procedures, thus fully supporting the reasonable expenses claimed by the </w:t>
      </w:r>
      <w:r>
        <w:rPr>
          <w:sz w:val="28"/>
          <w:szCs w:val="28"/>
        </w:rPr>
        <w:t>right holder</w:t>
      </w:r>
      <w:r w:rsidRPr="005A1DD1">
        <w:rPr>
          <w:sz w:val="28"/>
          <w:szCs w:val="28"/>
        </w:rPr>
        <w: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The judgment of this case reflects the distinct attitude of China's courts to strengthen the protection and equal protection of intellectual property rights and has a positive effect on creating a sound business environment. After the judgment came into force, Bridgestone specially sent a letter of thanks to the </w:t>
      </w:r>
      <w:r w:rsidRPr="005A1DD1">
        <w:rPr>
          <w:sz w:val="28"/>
          <w:szCs w:val="28"/>
        </w:rPr>
        <w:lastRenderedPageBreak/>
        <w:t>court of first instance, saying that the trial of this case reflected the increasingly strict trend of intellectual property right</w:t>
      </w:r>
      <w:r>
        <w:rPr>
          <w:sz w:val="28"/>
          <w:szCs w:val="28"/>
        </w:rPr>
        <w:t>s</w:t>
      </w:r>
      <w:r w:rsidRPr="005A1DD1">
        <w:rPr>
          <w:sz w:val="28"/>
          <w:szCs w:val="28"/>
        </w:rPr>
        <w:t xml:space="preserve"> protection in China and enhanced the confidence of foreign investors in investment in China.</w:t>
      </w:r>
    </w:p>
    <w:p w:rsidR="00824208" w:rsidRPr="005A1DD1" w:rsidRDefault="00824208" w:rsidP="00824208">
      <w:pPr>
        <w:adjustRightInd w:val="0"/>
        <w:snapToGrid w:val="0"/>
        <w:spacing w:line="312" w:lineRule="auto"/>
        <w:rPr>
          <w:rFonts w:eastAsia="黑体"/>
          <w:sz w:val="28"/>
          <w:szCs w:val="28"/>
        </w:rPr>
      </w:pPr>
      <w:r w:rsidRPr="005A1DD1">
        <w:rPr>
          <w:sz w:val="28"/>
          <w:szCs w:val="28"/>
        </w:rPr>
        <w:br w:type="page"/>
      </w:r>
      <w:r w:rsidRPr="005A1DD1">
        <w:rPr>
          <w:sz w:val="28"/>
          <w:szCs w:val="28"/>
        </w:rPr>
        <w:lastRenderedPageBreak/>
        <w:t>6. A case involving the identification of the unique name of well-known commodity "The Ghouls" and its rights ownership</w:t>
      </w:r>
    </w:p>
    <w:p w:rsidR="00824208" w:rsidRPr="005A1DD1" w:rsidRDefault="00824208" w:rsidP="00824208">
      <w:pPr>
        <w:adjustRightInd w:val="0"/>
        <w:snapToGrid w:val="0"/>
        <w:spacing w:line="312" w:lineRule="auto"/>
        <w:rPr>
          <w:rFonts w:eastAsia="仿宋_GB2312"/>
          <w:sz w:val="28"/>
          <w:szCs w:val="28"/>
        </w:rPr>
      </w:pPr>
      <w:r w:rsidRPr="005A1DD1">
        <w:rPr>
          <w:sz w:val="28"/>
          <w:szCs w:val="28"/>
        </w:rPr>
        <w:t>—Shanghai Xuanting Entertainment Information Technology Co., Ltd., Xuzhou Branch v. Zhang Muye et al.: Case of Dispute over Unfair Competition</w:t>
      </w:r>
    </w:p>
    <w:p w:rsidR="00824208" w:rsidRPr="005A1DD1" w:rsidRDefault="00824208" w:rsidP="00824208">
      <w:pPr>
        <w:adjustRightInd w:val="0"/>
        <w:snapToGrid w:val="0"/>
        <w:spacing w:line="312" w:lineRule="auto"/>
        <w:rPr>
          <w:rFonts w:eastAsia="仿宋_GB2312"/>
          <w:sz w:val="28"/>
          <w:szCs w:val="28"/>
        </w:rPr>
      </w:pP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[Case Information]</w:t>
      </w:r>
    </w:p>
    <w:p w:rsidR="00824208" w:rsidRPr="005A1DD1" w:rsidRDefault="00824208" w:rsidP="00824208">
      <w:pPr>
        <w:adjustRightInd w:val="0"/>
        <w:snapToGrid w:val="0"/>
        <w:spacing w:line="312" w:lineRule="auto"/>
        <w:ind w:leftChars="267" w:left="2241" w:hangingChars="600" w:hanging="1680"/>
        <w:rPr>
          <w:rFonts w:eastAsia="仿宋_GB2312"/>
          <w:sz w:val="28"/>
          <w:szCs w:val="28"/>
        </w:rPr>
      </w:pPr>
      <w:r w:rsidRPr="005A1DD1">
        <w:rPr>
          <w:sz w:val="28"/>
          <w:szCs w:val="28"/>
        </w:rPr>
        <w:t>Case No.:</w:t>
      </w:r>
      <w:r>
        <w:rPr>
          <w:sz w:val="28"/>
          <w:szCs w:val="28"/>
        </w:rPr>
        <w:tab/>
      </w:r>
      <w:r w:rsidRPr="005A1DD1">
        <w:rPr>
          <w:sz w:val="28"/>
          <w:szCs w:val="28"/>
        </w:rPr>
        <w:t>Xuzhou Intermediate People's Court (2017) S. 03 M.C. No. 27</w:t>
      </w:r>
    </w:p>
    <w:p w:rsidR="00824208" w:rsidRPr="005A1DD1" w:rsidRDefault="00824208" w:rsidP="00824208">
      <w:pPr>
        <w:adjustRightInd w:val="0"/>
        <w:snapToGrid w:val="0"/>
        <w:spacing w:line="312" w:lineRule="auto"/>
        <w:ind w:left="1821" w:firstLine="420"/>
        <w:rPr>
          <w:rFonts w:eastAsia="仿宋_GB2312"/>
          <w:sz w:val="28"/>
          <w:szCs w:val="28"/>
        </w:rPr>
      </w:pPr>
      <w:r w:rsidRPr="005A1DD1">
        <w:rPr>
          <w:sz w:val="28"/>
          <w:szCs w:val="28"/>
        </w:rPr>
        <w:t>Jiangsu High People’s Court (2018) S.M.C. No. 130</w:t>
      </w:r>
    </w:p>
    <w:p w:rsidR="00824208" w:rsidRPr="005A1DD1" w:rsidRDefault="00824208" w:rsidP="00824208">
      <w:pPr>
        <w:adjustRightInd w:val="0"/>
        <w:snapToGrid w:val="0"/>
        <w:spacing w:line="312" w:lineRule="auto"/>
        <w:ind w:leftChars="267" w:left="2241" w:hangingChars="600" w:hanging="1680"/>
        <w:rPr>
          <w:rFonts w:eastAsia="仿宋_GB2312"/>
          <w:sz w:val="28"/>
          <w:szCs w:val="28"/>
        </w:rPr>
      </w:pPr>
      <w:r w:rsidRPr="005A1DD1">
        <w:rPr>
          <w:sz w:val="28"/>
          <w:szCs w:val="28"/>
        </w:rPr>
        <w:t>Plaintiff:</w:t>
      </w:r>
      <w:r>
        <w:rPr>
          <w:sz w:val="28"/>
          <w:szCs w:val="28"/>
        </w:rPr>
        <w:tab/>
      </w:r>
      <w:r w:rsidRPr="005A1DD1">
        <w:rPr>
          <w:sz w:val="28"/>
          <w:szCs w:val="28"/>
        </w:rPr>
        <w:t>Xuzhou Branch of Shanghai Xuanting Entertainment Information Technology Co., Ltd.</w:t>
      </w:r>
    </w:p>
    <w:p w:rsidR="00824208" w:rsidRPr="005A1DD1" w:rsidRDefault="00824208" w:rsidP="00824208">
      <w:pPr>
        <w:adjustRightInd w:val="0"/>
        <w:snapToGrid w:val="0"/>
        <w:spacing w:line="312" w:lineRule="auto"/>
        <w:ind w:leftChars="267" w:left="2241" w:hangingChars="600" w:hanging="1680"/>
        <w:rPr>
          <w:rFonts w:eastAsia="仿宋_GB2312"/>
          <w:sz w:val="28"/>
          <w:szCs w:val="28"/>
        </w:rPr>
      </w:pPr>
      <w:r w:rsidRPr="005A1DD1">
        <w:rPr>
          <w:sz w:val="28"/>
          <w:szCs w:val="28"/>
        </w:rPr>
        <w:t>Defendants:</w:t>
      </w:r>
      <w:r>
        <w:rPr>
          <w:sz w:val="28"/>
          <w:szCs w:val="28"/>
        </w:rPr>
        <w:tab/>
      </w:r>
      <w:r w:rsidRPr="005A1DD1">
        <w:rPr>
          <w:sz w:val="28"/>
          <w:szCs w:val="28"/>
        </w:rPr>
        <w:t>Zhang Muye, Beijing IQIYI Science &amp; Technology Co., Ltd., and Dongyang UP Pictures Co., Ltd.</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[Adjudication Gist]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A well-known work is valuable both in literary and in commerce. With the increasing popularity and influence of a work, a stable relationship will be established between the title of the work and the work itself, producing the distinctive characteristics of distinguishing the source of the work, and constituting the unique name of </w:t>
      </w:r>
      <w:r>
        <w:rPr>
          <w:sz w:val="28"/>
          <w:szCs w:val="28"/>
        </w:rPr>
        <w:t xml:space="preserve">a </w:t>
      </w:r>
      <w:r w:rsidRPr="005A1DD1">
        <w:rPr>
          <w:sz w:val="28"/>
          <w:szCs w:val="28"/>
        </w:rPr>
        <w:t>well-known commodity in the sense of the Anti-Unfair Competition Law. The rights and interests in the unique name of the work shall belong to the subject</w:t>
      </w:r>
      <w:r>
        <w:rPr>
          <w:sz w:val="28"/>
          <w:szCs w:val="28"/>
        </w:rPr>
        <w:t>,which</w:t>
      </w:r>
      <w:r w:rsidRPr="005A1DD1">
        <w:rPr>
          <w:sz w:val="28"/>
          <w:szCs w:val="28"/>
        </w:rPr>
        <w:t xml:space="preserve"> contributes to the cultivation of popularity through commercial operation.</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Whether the title of a work involves feudal superstition shall be comprehensively judged based on the origin of the title, the creation purpose of the author, the general cognition of the public concerned, and whether the title has a negative impact on the public interest and public order.</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The right </w:t>
      </w:r>
      <w:r>
        <w:rPr>
          <w:sz w:val="28"/>
          <w:szCs w:val="28"/>
        </w:rPr>
        <w:t>to use</w:t>
      </w:r>
      <w:r w:rsidRPr="005A1DD1">
        <w:rPr>
          <w:sz w:val="28"/>
          <w:szCs w:val="28"/>
        </w:rPr>
        <w:t xml:space="preserve"> the title of a work is different from personal rights such as the right of authorship. The transfer of the right of using the title of a work and the ownership of relevant rights and interests do not limit the author's re-creation freedom using his/her autonym and pseudonym.</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lastRenderedPageBreak/>
        <w:t>[Case Description]</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In December 2005, Zhang Muye (pseudonym: Tian Xia Ba Chang ("</w:t>
      </w:r>
      <w:r w:rsidRPr="005A1DD1">
        <w:rPr>
          <w:sz w:val="28"/>
          <w:szCs w:val="28"/>
        </w:rPr>
        <w:t>天下霸唱</w:t>
      </w:r>
      <w:r w:rsidRPr="005A1DD1">
        <w:rPr>
          <w:sz w:val="28"/>
          <w:szCs w:val="28"/>
        </w:rPr>
        <w:t>")) created The Ghouls (Experiences of Tomb Robbers) and initially published 52 chapters thereof on the Internet forum "Tianya" (https://bbs.tianya.cn/) in series. The remaining chapters of The Ghouls (Experiences of Tomb Robbers) and all chapters of The Ghouls II were published on the Starting Point Chinese Net (https://www.qidian.com/) owned by Shanghai Xuanting Entertainment Information Technology Co., Ltd. (hereinafter referred to as "Xuanting Company").</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On January 18, 2007, Xuanting Company (Party A) and Zhang Muye (Party B) concluded the Agreement stipulating that Party B shall transfer all the rights in the copyright of The Ghouls (Experiences of Tomb Robbers) to Party A, excluding those exclusively owned by Party B according to Chinese laws.</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On the same day, Xuanting Company (Party A) and Zhang Muye (Party B) concluded another Agreement of which the Article 3.1 stipulates that: Within the validity period of this Agreement, Party B, as the author solely serving Party A, shall transfer all rights in the copyright of the agreed works to Party A (including but not limited to the right of information dissemination through network, electronic publishing, book transmission/publication, and works adaptation), excluding those exclusively owned by Party B according to Chinese laws. The title of the work is Kui Xing Ti Dou ("</w:t>
      </w:r>
      <w:r w:rsidRPr="005A1DD1">
        <w:rPr>
          <w:sz w:val="28"/>
          <w:szCs w:val="28"/>
        </w:rPr>
        <w:t>魁星踢斗</w:t>
      </w:r>
      <w:r w:rsidRPr="005A1DD1">
        <w:rPr>
          <w:sz w:val="28"/>
          <w:szCs w:val="28"/>
        </w:rPr>
        <w:t xml:space="preserve">", a tentative name). According to the provisions of Articles 4.1.1 and 5.1.1, the transfer fee is RMB 1.5 million (pre-tax). Party A shall pay the transfer fee to Party B as agreed on time. According to the provisions of Article 4.2.5, during the term of this Agreement and after the performance of this Agreement, Party B shall not use his autonym and/or pseudonym to create a work with the same or similar title as this work or with the same or similar headings of the main chapters in this work. According to the provisions of Article 7.1.1, if the work is entered into an agreement on film </w:t>
      </w:r>
      <w:r>
        <w:rPr>
          <w:sz w:val="28"/>
          <w:szCs w:val="28"/>
        </w:rPr>
        <w:t>and</w:t>
      </w:r>
      <w:r w:rsidRPr="005A1DD1">
        <w:rPr>
          <w:sz w:val="28"/>
          <w:szCs w:val="28"/>
        </w:rPr>
        <w:t xml:space="preserve"> TV adaptation rights and produces economic benefits, Party A promises to reward 40% of the remuneration generated by the film </w:t>
      </w:r>
      <w:r>
        <w:rPr>
          <w:sz w:val="28"/>
          <w:szCs w:val="28"/>
        </w:rPr>
        <w:t>and</w:t>
      </w:r>
      <w:r w:rsidRPr="005A1DD1">
        <w:rPr>
          <w:sz w:val="28"/>
          <w:szCs w:val="28"/>
        </w:rPr>
        <w:t xml:space="preserve"> TV adaptation and </w:t>
      </w:r>
      <w:r w:rsidRPr="005A1DD1">
        <w:rPr>
          <w:sz w:val="28"/>
          <w:szCs w:val="28"/>
        </w:rPr>
        <w:lastRenderedPageBreak/>
        <w:t>pay it to Party B within 15 working days after receiving the third party's payment. The parties also agreed on other matters related to the Agreement. On October 12, 2007, Xuanting Company (Party A) and Zhang Muye (Party B) signed the Supplementary Confirmation and confirmed the foregoing agreements again.</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In September 2009, Zhang Muye set up a column in the journal Southern Metropolis Daily, and successively created and published a work of The Ghouls series—MuyeGuishi ("</w:t>
      </w:r>
      <w:r w:rsidRPr="005A1DD1">
        <w:rPr>
          <w:sz w:val="28"/>
          <w:szCs w:val="28"/>
        </w:rPr>
        <w:t>牧野诡事</w:t>
      </w:r>
      <w:r w:rsidRPr="005A1DD1">
        <w:rPr>
          <w:sz w:val="28"/>
          <w:szCs w:val="28"/>
        </w:rPr>
        <w:t xml:space="preserve">", while the title used in </w:t>
      </w:r>
      <w:r>
        <w:rPr>
          <w:sz w:val="28"/>
          <w:szCs w:val="28"/>
        </w:rPr>
        <w:t xml:space="preserve">the </w:t>
      </w:r>
      <w:r w:rsidRPr="005A1DD1">
        <w:rPr>
          <w:sz w:val="28"/>
          <w:szCs w:val="28"/>
        </w:rPr>
        <w:t xml:space="preserve">newspaper was MuyeZhizhang) in the name of his pseudonym "Tian Xia Ba Chang". On June 10, 2015, Zhang Muye (Party A) and Beijing Up Bachang Media Co., Ltd. (Party B) signed the Contract for Exclusive License of Literary Works, stipulating that Zhang Muye authorized Party B to exercise rights such as the right to adapt the literary work MuyeGuishi of The Ghouls. On June 15, 2015, Beijing Up Bachang Media Co., Ltd. (Party A) and Dongyang UP Pictures Co., Ltd. (hereinafter referred to as "Dongyang Company") (Party B) signed the Contract for Exclusive License of Literary Works, stipulating the same contents as those in the Contract for Exclusive License of Literary Works signed between Zhang Muye and Beijing Up Bachang Media Co., Ltd. On January 15, 2016, Beijing IQIYI Science &amp; Technology Co., Ltd. (hereinafter referred to as "iQIYI") (Party A) and Dongyang Company (Party B) signed the Joint Investment Agreement on the Super Seasonal Episode—MuyeGuishi of The Ghouls, stipulating that the title of </w:t>
      </w:r>
      <w:r>
        <w:rPr>
          <w:sz w:val="28"/>
          <w:szCs w:val="28"/>
        </w:rPr>
        <w:t xml:space="preserve">the </w:t>
      </w:r>
      <w:r w:rsidRPr="005A1DD1">
        <w:rPr>
          <w:sz w:val="28"/>
          <w:szCs w:val="28"/>
        </w:rPr>
        <w:t>super seasonal episode is the First Season of MuyeGuishi of The Ghouls (a tentative name and the final broadcasted name shall prevail). On November 16, 2016, Zhang Muye and Dongyang Company issued a joint statement saying that the online series MuyeGuishi of The Ghouls (a tentative name) is legally authorized by Zhang Muye, the author of the original novel work MuyeGuishi of The Ghouls, that is, the sole original copyright owner of the novel (pseudonym: Tian Xia Ba Chang), and is jointly invested and produced by Dongyang Company and iQIYI.</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Xuzhou Branch of Shanghai Xuanting Entertainment Information </w:t>
      </w:r>
      <w:r w:rsidRPr="005A1DD1">
        <w:rPr>
          <w:sz w:val="28"/>
          <w:szCs w:val="28"/>
        </w:rPr>
        <w:lastRenderedPageBreak/>
        <w:t xml:space="preserve">Technology Co., Ltd. (hereinafter referred to as "Xuanting Company Xuzhou Branch") believes that it has signed the Agreement on Rights Transfer with Xuanting Company, and therefore has acquired the copyright and related derivative rights of The Ghouls I and The Ghouls II (hereinafter referred to as "The Ghouls series"). The Ghouls series were initially published on the Starting Point Chinese Net (https://www.qidian.com/), and thereafter won a number of honors and high popularity and became a well-known commodity. The title of the work "The Ghouls" is a unique name </w:t>
      </w:r>
      <w:r>
        <w:rPr>
          <w:sz w:val="28"/>
          <w:szCs w:val="28"/>
        </w:rPr>
        <w:t>that</w:t>
      </w:r>
      <w:r w:rsidRPr="005A1DD1">
        <w:rPr>
          <w:sz w:val="28"/>
          <w:szCs w:val="28"/>
        </w:rPr>
        <w:t xml:space="preserve"> is highly related to the well-known commodity. In the process of authorizing Dongyang Company and iQIYI to adapt the literary work MuyeGuishi into the related film </w:t>
      </w:r>
      <w:r>
        <w:rPr>
          <w:sz w:val="28"/>
          <w:szCs w:val="28"/>
        </w:rPr>
        <w:t>and</w:t>
      </w:r>
      <w:r w:rsidRPr="005A1DD1">
        <w:rPr>
          <w:sz w:val="28"/>
          <w:szCs w:val="28"/>
        </w:rPr>
        <w:t xml:space="preserve"> TV play, Zhang Muye put the mark "The Ghouls" in front of the work MuyeGuishi, without the permission of the owner of the unique name of the well-known commodity, which infringed </w:t>
      </w:r>
      <w:r>
        <w:rPr>
          <w:sz w:val="28"/>
          <w:szCs w:val="28"/>
        </w:rPr>
        <w:t xml:space="preserve">on </w:t>
      </w:r>
      <w:r w:rsidRPr="005A1DD1">
        <w:rPr>
          <w:sz w:val="28"/>
          <w:szCs w:val="28"/>
        </w:rPr>
        <w:t xml:space="preserve">the rights and interests of Xuanting Company Xuzhou Branch in the unique name of the well-known commodity. iQIYI and Dongyang Company, as the producers of the related film </w:t>
      </w:r>
      <w:r>
        <w:rPr>
          <w:sz w:val="28"/>
          <w:szCs w:val="28"/>
        </w:rPr>
        <w:t>and</w:t>
      </w:r>
      <w:r w:rsidRPr="005A1DD1">
        <w:rPr>
          <w:sz w:val="28"/>
          <w:szCs w:val="28"/>
        </w:rPr>
        <w:t xml:space="preserve"> TV play, used the mark "The Ghouls" in the name of the film </w:t>
      </w:r>
      <w:r>
        <w:rPr>
          <w:sz w:val="28"/>
          <w:szCs w:val="28"/>
        </w:rPr>
        <w:t xml:space="preserve">and </w:t>
      </w:r>
      <w:r w:rsidRPr="005A1DD1">
        <w:rPr>
          <w:sz w:val="28"/>
          <w:szCs w:val="28"/>
        </w:rPr>
        <w:t xml:space="preserve">TV play, which infringed </w:t>
      </w:r>
      <w:r>
        <w:rPr>
          <w:sz w:val="28"/>
          <w:szCs w:val="28"/>
        </w:rPr>
        <w:t xml:space="preserve">on </w:t>
      </w:r>
      <w:r w:rsidRPr="005A1DD1">
        <w:rPr>
          <w:sz w:val="28"/>
          <w:szCs w:val="28"/>
        </w:rPr>
        <w:t xml:space="preserve">the rights and interests of Xuanting Company Xuzhou Branch in the unique name of the well-known commodity. Zhang Muye, iQIYI, and Dongyang Company kept intentional contact with each other and jointly implemented the unfair competition behavior of using the unique name of the well-known commodity without permission. In addition, iQIYI advertised the related film </w:t>
      </w:r>
      <w:r>
        <w:rPr>
          <w:sz w:val="28"/>
          <w:szCs w:val="28"/>
        </w:rPr>
        <w:t>and</w:t>
      </w:r>
      <w:r w:rsidRPr="005A1DD1">
        <w:rPr>
          <w:sz w:val="28"/>
          <w:szCs w:val="28"/>
        </w:rPr>
        <w:t xml:space="preserve"> TV play with a large number of slogans such as "The Ghouls </w:t>
      </w:r>
      <w:r>
        <w:rPr>
          <w:sz w:val="28"/>
          <w:szCs w:val="28"/>
        </w:rPr>
        <w:t xml:space="preserve">could </w:t>
      </w:r>
      <w:r w:rsidRPr="005A1DD1">
        <w:rPr>
          <w:sz w:val="28"/>
          <w:szCs w:val="28"/>
        </w:rPr>
        <w:t>not do without MuyeGuishi" and "The most authentic novel of The Ghouls series", which constituted false propaganda.</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Zhang Muye argued that even if the mark "The Ghouls" constitutes the unique name of a well-known commodity, the rights and interests thereof shall be owned by him rather than Xuanting Company Xuzhou Branch. The provisions of Article 4.2.5 in the Agreement signed by Xuanting Company and Zhang Muye for the second series of the novel The Ghouls limits the author's freedom of creation and deprives the author's potential rights and interests in the </w:t>
      </w:r>
      <w:r w:rsidRPr="005A1DD1">
        <w:rPr>
          <w:sz w:val="28"/>
          <w:szCs w:val="28"/>
        </w:rPr>
        <w:lastRenderedPageBreak/>
        <w:t>unique name of the well-known commodity, therefore the Agreement it shall be invalid.</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[Decision of the Court]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The Xuzhou Intermediate People's Court, as the court of first instance, found that: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1. Whether the mark "The Ghouls" constitutes the unique name of a well-known commodity. The novel series The Ghouls enjoys high popularity in the market of China and is widely known among the relevant public</w:t>
      </w:r>
      <w:r>
        <w:rPr>
          <w:sz w:val="28"/>
          <w:szCs w:val="28"/>
        </w:rPr>
        <w:t>;</w:t>
      </w:r>
      <w:r w:rsidRPr="005A1DD1">
        <w:rPr>
          <w:sz w:val="28"/>
          <w:szCs w:val="28"/>
        </w:rPr>
        <w:t xml:space="preserve"> therefore, it is a "well-known commodity" set forth in Paragraph (2) of Article 5 of the Anti-Unfair Competition Law of the People's Republic of China. With the increasing popularity and influence of the novel series The Ghouls, the mark "The Ghouls", as the name of a well-known novel, has gradually formed significant features different from other novels. Till now, the novel series The Ghouls has gained great popularity and influence among the relevant public. As the title of the novel, the mark "The Ghouls" has also established a stable relationship with the obligee's works, including The Ghouls (Experiences of Tomb Robbers) and The Ghouls II, has formed significant features indicating the sources of the commodity, and has become a "unique name" set forth in Paragraph (2) of Article 5 of the Anti-Unfair Competition Law of the People's Republic of China. In this case, Xuanting Company and the outsiders applied for registration of the mark "The Ghouls" as a registered trademark to be used on different kinds of commodities several times, but the Trademark Office of the State Administration for Industry and Commerce (hereinafter referred to as the "State Trademark Office") rejected the applications on the ground that "The Ghouls involves feudal superstition and it may bring about </w:t>
      </w:r>
      <w:r>
        <w:rPr>
          <w:sz w:val="28"/>
          <w:szCs w:val="28"/>
        </w:rPr>
        <w:t xml:space="preserve">the </w:t>
      </w:r>
      <w:r w:rsidRPr="005A1DD1">
        <w:rPr>
          <w:sz w:val="28"/>
          <w:szCs w:val="28"/>
        </w:rPr>
        <w:t xml:space="preserve">adverse effect when used as trademark". On this basis, iQIYI, Dongyang Company, and Zhang Muye claimed that the mark "The Ghouls" is not the unique name of a well-known commodity. However, the court of first instance held that trademark examination only targets a single trademark. The fact that the same or similar marks have been approved for trademark registration in one or some </w:t>
      </w:r>
      <w:r w:rsidRPr="005A1DD1">
        <w:rPr>
          <w:sz w:val="28"/>
          <w:szCs w:val="28"/>
        </w:rPr>
        <w:lastRenderedPageBreak/>
        <w:t xml:space="preserve">applications cannot be used as the basis for their approval for trademark registration in other applications. The fact that many marks with the word "Gui" (meaning ghost in English) have been legally registered as trademarks has also been confirmed. Moreover, the above notices of rejecting the trademark registration of "The Ghouls" issued by the State Trademark Office had not been reexamined by the Trademark Review and Adjudication Board of the State Administration for Industry and Commerce or confirmed by an effective legal document of the People's Court. In addition, the application for registration of certain marks on one or some categories of </w:t>
      </w:r>
      <w:r>
        <w:rPr>
          <w:sz w:val="28"/>
          <w:szCs w:val="28"/>
        </w:rPr>
        <w:t xml:space="preserve">the </w:t>
      </w:r>
      <w:r w:rsidRPr="005A1DD1">
        <w:rPr>
          <w:sz w:val="28"/>
          <w:szCs w:val="28"/>
        </w:rPr>
        <w:t xml:space="preserve">commodity has adverse effects, but it may not bring about adverse effects on other categories. Whether the same mark applied for trademark registration has adverse effects is occasionally related to </w:t>
      </w:r>
      <w:r>
        <w:rPr>
          <w:sz w:val="28"/>
          <w:szCs w:val="28"/>
        </w:rPr>
        <w:t xml:space="preserve">the </w:t>
      </w:r>
      <w:r w:rsidRPr="005A1DD1">
        <w:rPr>
          <w:sz w:val="28"/>
          <w:szCs w:val="28"/>
        </w:rPr>
        <w:t>category of commodity. Therefore, the notices of rejection issued by the State Trademark Office certainly cannot be used as the basis for determining whether the mark constitutes a unique name of a well-known commodity in this case. Whether the mark "The Ghouls" involves feudal superstition as a novel title shall be comprehensively judged based on the origin of the title, the creation purpose of the author, the general cognition of the public concerned, and whether the mark "The Ghouls" as the title of the novel involved this case will have a negative impact on the public interest and public order.</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2. How to determine the ownership of the unique name of a well-known commodity. As for the unique name of a well-known commodity, whether it has been used and publicized extensively and continuously for a long term and on a large scale shall be used as the criteria to judge the owner of the rights and interests thereof. The subject who makes contributions to the well-known and unique name of the commodity shall enjoy the rights and interests thereof, otherwise it shall not be the owner of such rights and interests. Xuanting Company's long-term, extensive, continuous, and large-scale publicity and operation of the novel series The Ghouls changes the novel from "an unknown commodity" to "a well-known commodity", and the novel title "The Ghouls" from "an insignificant feature" to "a significant feature". Whereas, Zhang </w:t>
      </w:r>
      <w:r w:rsidRPr="005A1DD1">
        <w:rPr>
          <w:sz w:val="28"/>
          <w:szCs w:val="28"/>
        </w:rPr>
        <w:lastRenderedPageBreak/>
        <w:t>Muyehasn't carried out long-term, extensive, continuous, and large-scale publicity and operation of the novel. Therefore, Xuanting Company is the main contributor of the unique name of the well-known commodity and the unique name of a well-known commodity, i.e., the novel title "The Ghouls", shall be owned by Xuanting Company. Xuanting Company Xuzhou Branch has become the owner of the rights and interests in the unique name of the well-known commodity through the act of transfer.</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As iQIYI, Dongyang Company, and Zhang Muye have jointly carried out the unfair competition behavior of using the unique name of a well-known commodity without permission, </w:t>
      </w:r>
      <w:r>
        <w:rPr>
          <w:sz w:val="28"/>
          <w:szCs w:val="28"/>
        </w:rPr>
        <w:t xml:space="preserve">and </w:t>
      </w:r>
      <w:r w:rsidRPr="005A1DD1">
        <w:rPr>
          <w:sz w:val="28"/>
          <w:szCs w:val="28"/>
        </w:rPr>
        <w:t>they shall jointly bear the civil liabilities to stop the act of infringement and compensate for the losses and reasonable rights protection expenses. As iQIYI has carried out the act of false propaganda, it shall also bear the civil liability to stop the act of infringement and compensate for the losses and reasonable rights protection expenses. To sum up, the court of first instance ruled that: iQIYI, Dongyang Company, and Zhang Muye shall immediately stop the act of unfair competition of using the unique name of a well-known commodity without permission, that is to say, they shall immediately stop using "The Ghouls" as the commodity name of the online series MuyeGuishi and the trailer thereof; iQIYI shall compensate Xuanting Company Xuzhou Branch RMB 1.5 million, and Dongyang Company and Zhang Muye shall be jointly and severally liable for the compensation of RMB 1.1 million; iQIYI, Dongyang Company, and Zhang Muye shall compensate Xuanting Company Xuzhou Branch for the reasonable expense of RMB 80,000; and other claims of Xuanting Company Xuzhou Branch shall be rejected. iQIYI, Dongyang Company, and Zhang Muye appealed to Jiangsu High People’s Court against the judgment of first instance.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The Jiangsu High People’s Court, as the court of second instance, found that: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1. As for whether the mark "The Ghouls" constitutes the unique name of a well-known commodity. First, as the title or part of the related work, "The </w:t>
      </w:r>
      <w:r w:rsidRPr="005A1DD1">
        <w:rPr>
          <w:sz w:val="28"/>
          <w:szCs w:val="28"/>
        </w:rPr>
        <w:lastRenderedPageBreak/>
        <w:t xml:space="preserve">Ghouls" is legitimate wholly or partially. In addition to agreeing with reasons of the judgment of first instance, the court of second instance held that the publicity, publication, and distribution of the novel The Ghouls and the distribution of related online series were approved by the copyright, </w:t>
      </w:r>
      <w:r>
        <w:rPr>
          <w:sz w:val="28"/>
          <w:szCs w:val="28"/>
        </w:rPr>
        <w:t>radio and television</w:t>
      </w:r>
      <w:r w:rsidRPr="005A1DD1">
        <w:rPr>
          <w:sz w:val="28"/>
          <w:szCs w:val="28"/>
        </w:rPr>
        <w:t xml:space="preserve">, and other administrations, and further confirmed that the mark "The Ghouls" does not involve feudal superstition as the title or main title of the related novel series and online series. It can be seen that the specific meaning and adverse effects of a mark which is the title of a work need to be comprehensively judged in combination with the content of the work, which is essentially different from the criteria for judging whether a trademark with </w:t>
      </w:r>
      <w:r>
        <w:rPr>
          <w:sz w:val="28"/>
          <w:szCs w:val="28"/>
        </w:rPr>
        <w:t xml:space="preserve">a </w:t>
      </w:r>
      <w:r w:rsidRPr="005A1DD1">
        <w:rPr>
          <w:sz w:val="28"/>
          <w:szCs w:val="28"/>
        </w:rPr>
        <w:t>distinguishable source of commodities and services can be registered. Therefore, the trademark administration's decision to reject the appl</w:t>
      </w:r>
      <w:r>
        <w:rPr>
          <w:sz w:val="28"/>
          <w:szCs w:val="28"/>
        </w:rPr>
        <w:t>i</w:t>
      </w:r>
      <w:r w:rsidRPr="005A1DD1">
        <w:rPr>
          <w:sz w:val="28"/>
          <w:szCs w:val="28"/>
        </w:rPr>
        <w:t xml:space="preserve">cation for registration of the mark "The Ghouls" due to its adverse effects based on the principles of trademark registration does not affect the determination that the mark "The Ghouls" in this case can constitute the unique name of a well-known commodity. Second, it is an objective fact that the related series of the work "The Ghouls" involved in this case enjoys a high market popularity. In this case, plenty of evidence proves that the work "The Ghouls" enjoys a high market popularity. For the relevant public, the mark "The Ghouls" has had a stable relationship with the novel, and has had significant features different from other novels. In conclusion, considerations for the judgment of the court of second instance that the mark "The Ghouls" constituted the unique name of a well-known commodity are that, firstly, the work's popularity is an objective fact; secondly, the mark "The Ghouls" itself is not illegal and has been examined and permitted by copyright, </w:t>
      </w:r>
      <w:r>
        <w:rPr>
          <w:sz w:val="28"/>
          <w:szCs w:val="28"/>
        </w:rPr>
        <w:t>radio and television</w:t>
      </w:r>
      <w:r w:rsidRPr="005A1DD1">
        <w:rPr>
          <w:sz w:val="28"/>
          <w:szCs w:val="28"/>
        </w:rPr>
        <w:t>, and other administrations to be used as the title or main title of the related work; and finally; the legal interests protected by the Anti-Unfair Competition Law have been formed after long-term use of the mark "The Ghouls" as the title or main title of the related work.</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2. The relevant rights and interests of the mark "The Ghouls" as the unique name of the related novel series of The Ghouls shall be owned by </w:t>
      </w:r>
      <w:r w:rsidRPr="005A1DD1">
        <w:rPr>
          <w:sz w:val="28"/>
          <w:szCs w:val="28"/>
        </w:rPr>
        <w:lastRenderedPageBreak/>
        <w:t xml:space="preserve">XuantingCompany. First, the related Agreement does not violate the prohibitive provisions of laws and administrative regulations. According to the provision of Article 4.2.5 in the related Agreement: "During the term of this Agreement and after the performance of this Agreement, Party B (Zhang Muye) shall not use his autonym and/or pseudonym to create a work with the same or similar title as this work or with the same or similar headings of the main chapters in this work." Regarding whether the clause limits Zhang Muye's personal rights of recreation, the court of second instance held that seeing from the contents, the clause is ought to be interpreted as that Zhang Muye shall not use the same or similar title of the related work The Ghouls to name any work or its main chapters that he will create in the future using his autonym and/or pseudonym. It can be seen that this clause does not limit Zhang Muye's right to use his autonym and/or pseudonym to create works of the same type of suspense tomb robbery and of other types, but only bans him from using "The Ghouls" as the title of the work or its main chapters. Therefore, the above clause is applicable only to the titles and headings of works, rather than to all the creative activities and contents of creation of Zhang Muye pursuant to the legislative purpose of the Copyright Law on encouraging creations. Second, the provision of the Agreement on the rights and obligations of the parties is in line with the principle of fairness. In this case, the commercial model of Xuanting Company is: After a potential work is discovered, the company will sign a power of attorney or copyright transfer agreement with the author, and then conduct commercial adaptation, development, and promotion of the work, so as to obtain proceeds from the successful operation of the work. This is also a common commercial model for the development of the cultural industry in the Internet era. In this process, Xuanting Company has to invest much capital in the early stage, such as the purchase cost of the work, and the publicity and promotion cost. If the commercial operation is successful, the company will certainly earn higher profits; on the contrary, if the promotion of the work fails, the commercial risk will be borne by Xuanting Company independently. In conclusion, in view of </w:t>
      </w:r>
      <w:r w:rsidRPr="005A1DD1">
        <w:rPr>
          <w:sz w:val="28"/>
          <w:szCs w:val="28"/>
        </w:rPr>
        <w:lastRenderedPageBreak/>
        <w:t>the fact that the Agreement does not violate the prohibitive provisions of the Copyright Law and it is legal and effective, the parties shall perform the contract in accordance with the principle of good faith. In this case, when signing the contract, Zhang Muye should have known the legal consequences of transferring the copyright-related property rights of the work involved in the agreement</w:t>
      </w:r>
      <w:r>
        <w:rPr>
          <w:sz w:val="28"/>
          <w:szCs w:val="28"/>
        </w:rPr>
        <w:t>;</w:t>
      </w:r>
      <w:r w:rsidRPr="005A1DD1">
        <w:rPr>
          <w:sz w:val="28"/>
          <w:szCs w:val="28"/>
        </w:rPr>
        <w:t xml:space="preserve"> therefore, he should not violate the original agreement after the successful commercial operation by Xuanting Company and should not claim that the relevant rights and interests of the mark "The Ghouls" are owned by him. In this regard, the court of second instance stressed that the parties sh</w:t>
      </w:r>
      <w:r>
        <w:rPr>
          <w:sz w:val="28"/>
          <w:szCs w:val="28"/>
        </w:rPr>
        <w:t>ould</w:t>
      </w:r>
      <w:r w:rsidRPr="005A1DD1">
        <w:rPr>
          <w:sz w:val="28"/>
          <w:szCs w:val="28"/>
        </w:rPr>
        <w:t xml:space="preserve"> abide by the provisions of the contract for the transfer of the work-related property rights and maintain the spirit of the contract, reflecting the basic value orientation of promoting the development of legitimate commercial models for original network literature. Therefore, the court of second instance dismissed his appeal and affirmed the original judgment.</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[Typical Significance]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This case is a new type of unfair competition dispute involving the protection issues of the Anti-Unfair Competition Law on the title of the well-known work series "The Ghouls", and is rated as one of the top ten entertainment law cases in 2019. In this case, Xuanting Company signed a copyright transfer agreement related to the novel series "The Ghouls" with one of the defendants Zhang Muye, and acquired the property rights in a work excluding the personal rights of Zhang Muye. After the commercial operation by Xuanting Company, the novel series "The Ghouls" gained high market popularity and produced great economic benefits. As a result, some subjects in the market made use of the influence of the mark "The Ghouls" to gain corresponding economic benefits.</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The typical meanings of the judgment of this case are as follows:</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1. The judgment of this case clearly recognized that the title of a work </w:t>
      </w:r>
      <w:r>
        <w:rPr>
          <w:sz w:val="28"/>
          <w:szCs w:val="28"/>
        </w:rPr>
        <w:t>could</w:t>
      </w:r>
      <w:r w:rsidRPr="005A1DD1">
        <w:rPr>
          <w:sz w:val="28"/>
          <w:szCs w:val="28"/>
        </w:rPr>
        <w:t xml:space="preserve"> be protected as a unique name of a well-known commodity or a commercial mark with certain influence as prescribed in the newly revised </w:t>
      </w:r>
      <w:r w:rsidRPr="005A1DD1">
        <w:rPr>
          <w:sz w:val="28"/>
          <w:szCs w:val="28"/>
        </w:rPr>
        <w:lastRenderedPageBreak/>
        <w:t>Anti-Unfair Competition Law. Based on the determination criteria of "well-known commodity" in judicial interpretation, the judgments of the first instance and the second instance take whether a work has been used and advertised by the obligee extensively and continuously for a long term and on a large scale, enjoys a high popularity and has great influence, produces great commercial value, has a stable corresponding relationship with the title thereof, and has significant features different from other novels as the measurement criteria for a well-known commodity and the title thereof is a unique name.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2. Based on the essential characteristics of a work and a trademark, the judgment of this case clarifies the influence of "adverse effects" in </w:t>
      </w:r>
      <w:r>
        <w:rPr>
          <w:sz w:val="28"/>
          <w:szCs w:val="28"/>
        </w:rPr>
        <w:t xml:space="preserve">the </w:t>
      </w:r>
      <w:r w:rsidRPr="005A1DD1">
        <w:rPr>
          <w:sz w:val="28"/>
          <w:szCs w:val="28"/>
        </w:rPr>
        <w:t>trademark registration examination on the protection of the work's title as the unique name of a well-known commodity. The defendants in this case believe that the term "The Ghouls" involves feudal superstition, and the application of the corresponding trademark "The Ghouls" has been rejected by the trademark administration several time</w:t>
      </w:r>
      <w:r>
        <w:rPr>
          <w:sz w:val="28"/>
          <w:szCs w:val="28"/>
        </w:rPr>
        <w:t>s</w:t>
      </w:r>
      <w:r w:rsidRPr="005A1DD1">
        <w:rPr>
          <w:sz w:val="28"/>
          <w:szCs w:val="28"/>
        </w:rPr>
        <w:t xml:space="preserve"> on the ground of adverse effects, so it cannot constitute the unique name of a well-known commodity. In this regard, the judgments of the first instance and the second instance clearly confirm that the determination of whether the title of a work has adverse effects is essentially different from the criteria for judging whether a trademark with </w:t>
      </w:r>
      <w:r>
        <w:rPr>
          <w:sz w:val="28"/>
          <w:szCs w:val="28"/>
        </w:rPr>
        <w:t xml:space="preserve">a </w:t>
      </w:r>
      <w:r w:rsidRPr="005A1DD1">
        <w:rPr>
          <w:sz w:val="28"/>
          <w:szCs w:val="28"/>
        </w:rPr>
        <w:t>distinguishable source of commodities and services can be registered. Therefore, the notice of rejection issued by the State Trademark Office certainly cannot be used as the basis for determining that the title of a work does not constitute the unique name of a well-known commodity. Whether the mark "The Ghouls" involves feudal superstition as a novel title shall be comprehensively judged based on the origin of the title, the creation purpose of the author, the general cognition of the public concerned, and whether the mark "The Ghouls" as the title of the novel involved this case will have a negative impact on the public interest and public order. In fact, these judgment ideas actually focus on the essential attributes of a work.</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3. Considering the principle of contract autonomy, the judgment of this case determines the ownership of the relevant rights and interests in the title of a </w:t>
      </w:r>
      <w:r w:rsidRPr="005A1DD1">
        <w:rPr>
          <w:sz w:val="28"/>
          <w:szCs w:val="28"/>
        </w:rPr>
        <w:lastRenderedPageBreak/>
        <w:t xml:space="preserve">well-known work based on the contribution to the formation of </w:t>
      </w:r>
      <w:r>
        <w:rPr>
          <w:sz w:val="28"/>
          <w:szCs w:val="28"/>
        </w:rPr>
        <w:t xml:space="preserve">the </w:t>
      </w:r>
      <w:r w:rsidRPr="005A1DD1">
        <w:rPr>
          <w:sz w:val="28"/>
          <w:szCs w:val="28"/>
        </w:rPr>
        <w:t>popularity of the title of the work. In addition to the agreement between the two parties, the judgments of the first instance and the second instance have also identified that: As for a unique name that has become a well-known commodity, whether it has been used and publicized extensively and continuously for a long term and on a large scale shall be the criteria for judging the owner of the rights and interests. The subject who makes contributions to the well-known and unique name of the commodity shall enjoy the rights and interests thereof, otherwise it shall not be the owner of such rights and interests. According to these criteria, the judg</w:t>
      </w:r>
      <w:r>
        <w:rPr>
          <w:sz w:val="28"/>
          <w:szCs w:val="28"/>
        </w:rPr>
        <w:t>e</w:t>
      </w:r>
      <w:r w:rsidRPr="005A1DD1">
        <w:rPr>
          <w:sz w:val="28"/>
          <w:szCs w:val="28"/>
        </w:rPr>
        <w:t xml:space="preserve"> finally ruled that Xuanting Company enjoys the rights and interests related to the title "The Ghouls".</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4. It is beneficial to promote the development of this commercial model to identify the ownership of the rights and interests in a well-known work based on the common commercial operation model for the development of the cultural industry in the Internet era. The judgments of the first instance and the second instance identify that the common commercial operation model for the development of the cultural industry in the Internet era is: After a potential work is discovered, the company will sign a power of attorney or copyright transfer agreement with the author, and then conduct commercial adaptation, development, and promotion of the work, so as to obtain proceeds from the successful operation of the work. Therefore, the judgment of this case affirms this common commercial model and commercial practices, which is conducive to stimulating the enthusiasm of operators of the network culture commercial model, and thus promoting the healthy development of this new commercial model.</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5. The judgment of this case distinguishes the right to use the title of a work from the right of authorship with personal attributes of the author, so as not to restrict the freedom of the author to recreate using his autonym and/or pseudonym.</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The judgment of this case has drawn a clear distinction between the </w:t>
      </w:r>
      <w:r w:rsidRPr="005A1DD1">
        <w:rPr>
          <w:sz w:val="28"/>
          <w:szCs w:val="28"/>
        </w:rPr>
        <w:lastRenderedPageBreak/>
        <w:t xml:space="preserve">creative contribution of authors as prescribed in the copyright </w:t>
      </w:r>
      <w:r>
        <w:rPr>
          <w:sz w:val="28"/>
          <w:szCs w:val="28"/>
        </w:rPr>
        <w:t>l</w:t>
      </w:r>
      <w:r w:rsidRPr="005A1DD1">
        <w:rPr>
          <w:sz w:val="28"/>
          <w:szCs w:val="28"/>
        </w:rPr>
        <w:t>aw and the commercial contribution of cultivating ordinary works into well-known works as prescribed in the Anti-Unfair Competition Law, and reflected the basic value orientations of promoting the spread and development of culture under the Internet environment, promoting the development of legal business models for original network literature, and promoting the balance of interests among relevant subjects such as authors, websites, and platforms, which are of reference significance to similar cases.</w:t>
      </w:r>
    </w:p>
    <w:p w:rsidR="00824208" w:rsidRPr="005A1DD1" w:rsidRDefault="00824208" w:rsidP="00824208">
      <w:pPr>
        <w:adjustRightInd w:val="0"/>
        <w:snapToGrid w:val="0"/>
        <w:spacing w:line="312" w:lineRule="auto"/>
        <w:rPr>
          <w:rFonts w:eastAsia="黑体"/>
          <w:sz w:val="28"/>
          <w:szCs w:val="28"/>
        </w:rPr>
      </w:pPr>
      <w:r w:rsidRPr="005A1DD1">
        <w:rPr>
          <w:sz w:val="28"/>
          <w:szCs w:val="28"/>
        </w:rPr>
        <w:br w:type="page"/>
      </w:r>
      <w:r w:rsidRPr="005A1DD1">
        <w:rPr>
          <w:sz w:val="28"/>
          <w:szCs w:val="28"/>
        </w:rPr>
        <w:lastRenderedPageBreak/>
        <w:t xml:space="preserve">7. A case involving application for </w:t>
      </w:r>
      <w:r w:rsidRPr="002B40FD">
        <w:rPr>
          <w:sz w:val="28"/>
          <w:szCs w:val="28"/>
        </w:rPr>
        <w:t>advanced resumption</w:t>
      </w:r>
      <w:r w:rsidRPr="005A1DD1">
        <w:rPr>
          <w:sz w:val="28"/>
          <w:szCs w:val="28"/>
        </w:rPr>
        <w:t xml:space="preserve"> of deleted online sales links based on malicious complaints</w:t>
      </w:r>
    </w:p>
    <w:p w:rsidR="00824208" w:rsidRPr="005A1DD1" w:rsidRDefault="00824208" w:rsidP="00824208">
      <w:pPr>
        <w:adjustRightInd w:val="0"/>
        <w:snapToGrid w:val="0"/>
        <w:spacing w:line="312" w:lineRule="auto"/>
        <w:rPr>
          <w:rFonts w:eastAsia="仿宋_GB2312"/>
          <w:sz w:val="28"/>
          <w:szCs w:val="28"/>
        </w:rPr>
      </w:pPr>
      <w:r w:rsidRPr="005A1DD1">
        <w:rPr>
          <w:sz w:val="28"/>
          <w:szCs w:val="28"/>
        </w:rPr>
        <w:t>—</w:t>
      </w:r>
      <w:r w:rsidRPr="002B40FD">
        <w:rPr>
          <w:sz w:val="28"/>
          <w:szCs w:val="28"/>
        </w:rPr>
        <w:t>Zhengzhou Yetou Network Technology Co., Ltd. v. Ding Xiaomei and Zhejiang Tmall Network Co., Ltd. et al.: Case Involving Advance Execution for Infringement on Design Patent</w:t>
      </w:r>
    </w:p>
    <w:p w:rsidR="00824208" w:rsidRPr="005A1DD1" w:rsidRDefault="00824208" w:rsidP="00824208">
      <w:pPr>
        <w:adjustRightInd w:val="0"/>
        <w:snapToGrid w:val="0"/>
        <w:spacing w:line="312" w:lineRule="auto"/>
        <w:ind w:firstLineChars="200" w:firstLine="560"/>
        <w:rPr>
          <w:rFonts w:eastAsia="仿宋_GB2312"/>
          <w:sz w:val="28"/>
          <w:szCs w:val="28"/>
        </w:rPr>
      </w:pP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[Case Information]</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Case No.: Nanjing Intermediate People's Court (2019) S. 01 M.C. No. 687</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Applicant: Zhengzhou Yetou Network Technology Co., Ltd.</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Respondents: Zhejiang Tmall Network Co., Ltd.</w:t>
      </w:r>
      <w:r>
        <w:rPr>
          <w:sz w:val="28"/>
          <w:szCs w:val="28"/>
        </w:rPr>
        <w:t>,</w:t>
      </w:r>
      <w:r w:rsidRPr="005A1DD1">
        <w:rPr>
          <w:sz w:val="28"/>
          <w:szCs w:val="28"/>
        </w:rPr>
        <w:t xml:space="preserve"> and Ding Xiaomei, et al.</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[Adjudication Gist]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Where the obligee complained to the online shopping platform or sued the retailer on the platform for infringement of its intellectual property right, and then the platform disconnected the sales links of related commodities, and as a result</w:t>
      </w:r>
      <w:r>
        <w:rPr>
          <w:sz w:val="28"/>
          <w:szCs w:val="28"/>
        </w:rPr>
        <w:t>,</w:t>
      </w:r>
      <w:r w:rsidRPr="005A1DD1">
        <w:rPr>
          <w:sz w:val="28"/>
          <w:szCs w:val="28"/>
        </w:rPr>
        <w:t xml:space="preserve"> the retailer applied for a court ruling requiring the online platform to resume the sales links in advance, the court shall comprehensively examine the facts and legal elements, e.g., the possibility of infringement by the sold commodities, whether irreparable damages are caused to the retailer, the guarantee provided by the retailer, and whether the deletion or resumption of the links is harmful to public interests, in order to decide whether the deleted links should be resumed in advance.</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[Case Description]</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Ding Xiaomei claimed that the products sold by Zhengzhou Yetou Network Technology Co., Ltd. (hereinafter referred to as "Yetou Company") and Nantong Suao Textiles Co., Ltd. (hereinafter referred to as "Suao Company") on the Tmall online shopping platform infringed upon her design patent right</w:t>
      </w:r>
      <w:r>
        <w:rPr>
          <w:sz w:val="28"/>
          <w:szCs w:val="28"/>
        </w:rPr>
        <w:t>;</w:t>
      </w:r>
      <w:r w:rsidRPr="005A1DD1">
        <w:rPr>
          <w:sz w:val="28"/>
          <w:szCs w:val="28"/>
        </w:rPr>
        <w:t xml:space="preserve"> therefore, she initiated legal proceedings in Nanjing Intermediate People's Court against Yetou Company, Suao Company, and Zhejiang Tmall Network Co., Ltd. (hereinafter referred to as "Tmall"). Due to Ding Xiaomei's complaints to Tmall, Tmall deleted the sales links of the alleged infringing products on the </w:t>
      </w:r>
      <w:r w:rsidRPr="005A1DD1">
        <w:rPr>
          <w:sz w:val="28"/>
          <w:szCs w:val="28"/>
        </w:rPr>
        <w:lastRenderedPageBreak/>
        <w:t>Tmallonline shopping platform on April 8, 2019. In the hearing of the aforesaid case of dispute over infringement on design patent right, Yetou Company applied to Nanjing Intermediate People's Court for advance</w:t>
      </w:r>
      <w:r>
        <w:rPr>
          <w:sz w:val="28"/>
          <w:szCs w:val="28"/>
        </w:rPr>
        <w:t>d</w:t>
      </w:r>
      <w:r w:rsidRPr="005A1DD1">
        <w:rPr>
          <w:sz w:val="28"/>
          <w:szCs w:val="28"/>
        </w:rPr>
        <w:t xml:space="preserve"> resumption of the deleted links on the grounds that: The identical part between the alleged infringing products and the involved patented appearance design is the overall shape of the foldable framework of the mosquito curtain, and the different part between them is the shape and pattern of the mosquito netting. Thereinto, the identical part is a current design, and the different part can be considered as the design essential of</w:t>
      </w:r>
      <w:r>
        <w:rPr>
          <w:sz w:val="28"/>
          <w:szCs w:val="28"/>
        </w:rPr>
        <w:t xml:space="preserve"> the involved appearance design</w:t>
      </w:r>
      <w:r>
        <w:rPr>
          <w:rFonts w:hint="eastAsia"/>
          <w:sz w:val="28"/>
          <w:szCs w:val="28"/>
        </w:rPr>
        <w:t>;</w:t>
      </w:r>
      <w:r w:rsidRPr="005A1DD1">
        <w:rPr>
          <w:sz w:val="28"/>
          <w:szCs w:val="28"/>
        </w:rPr>
        <w:t xml:space="preserve"> that is to say, the alleged infringing products didn't adopt the design essential of the involved patent. Therefore, Yetou Company believes that the alleged infringing products do not fall within the scope of protection for the involved design patent right, and its acts of manufacture and sales of the alleged infringing products do not constitute infringement. Besides, due to Ding Xiaomei's complaints, Tmall has already deleted the sales links of the alleged infringing products. The alleged infringing products—mosquito curtains attributable are seasonable products in summer, which are currently in the season of sales. Prior to the deletion of the sales links, the products were ranked the first among similar products on the Tmall platform, and the upcoming "6.18" promotion campaign will be the second large-scale summer sales promotion following the "Doub</w:t>
      </w:r>
      <w:r>
        <w:rPr>
          <w:sz w:val="28"/>
          <w:szCs w:val="28"/>
        </w:rPr>
        <w:t>le 11" promotion campaign</w:t>
      </w:r>
      <w:r>
        <w:rPr>
          <w:rFonts w:hint="eastAsia"/>
          <w:sz w:val="28"/>
          <w:szCs w:val="28"/>
        </w:rPr>
        <w:t>;</w:t>
      </w:r>
      <w:r w:rsidRPr="005A1DD1">
        <w:rPr>
          <w:sz w:val="28"/>
          <w:szCs w:val="28"/>
        </w:rPr>
        <w:t xml:space="preserve"> thus the deletion of the sales links has severely affected the sales of Yetou Company. In addition, the trial process of this case will last for a prolonged period. It will cause irretrievable losses to the production and business activities of Yetou Company if the sales links can't be resumed. In this regard, in order to avoid </w:t>
      </w:r>
      <w:r>
        <w:rPr>
          <w:rFonts w:hint="eastAsia"/>
          <w:sz w:val="28"/>
          <w:szCs w:val="28"/>
        </w:rPr>
        <w:t xml:space="preserve">the </w:t>
      </w:r>
      <w:r w:rsidRPr="005A1DD1">
        <w:rPr>
          <w:sz w:val="28"/>
          <w:szCs w:val="28"/>
        </w:rPr>
        <w:t>occurrence of irretrievable losses, Yetou Company applied for a court ruling requiring Tmall to resume all sales links of the alleged infringing products on the Tmall online shopping platform in advance.</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[Decision of the Court]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After examination, Nanjing Intermediate People's Court affirmed that: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First of all, Tmall reacted to Ding Xiaomei's complaints according to laws </w:t>
      </w:r>
      <w:r w:rsidRPr="005A1DD1">
        <w:rPr>
          <w:sz w:val="28"/>
          <w:szCs w:val="28"/>
        </w:rPr>
        <w:lastRenderedPageBreak/>
        <w:t>and regulations. After receiving Ding Xiaomei's complaints, Tmall acquired opinions from the complaining retailers and the complained retailers on the one hand, and directed its affiliated company to commission a third party to judge whether the act of infringement could be established on the other hand, and Tmall didn't take any actions including deletion of the sales links since the judgment result was that the alleged infringement couldn't be established. After Ding Xiaomei filed the lawsuit of this case, she complained again and insisted that Tmall should take necessary actions</w:t>
      </w:r>
      <w:r>
        <w:rPr>
          <w:rFonts w:hint="eastAsia"/>
          <w:sz w:val="28"/>
          <w:szCs w:val="28"/>
        </w:rPr>
        <w:t>,</w:t>
      </w:r>
      <w:r w:rsidRPr="005A1DD1">
        <w:rPr>
          <w:sz w:val="28"/>
          <w:szCs w:val="28"/>
        </w:rPr>
        <w:t xml:space="preserve"> including </w:t>
      </w:r>
      <w:r>
        <w:rPr>
          <w:rFonts w:hint="eastAsia"/>
          <w:sz w:val="28"/>
          <w:szCs w:val="28"/>
        </w:rPr>
        <w:t xml:space="preserve">the </w:t>
      </w:r>
      <w:r w:rsidRPr="005A1DD1">
        <w:rPr>
          <w:sz w:val="28"/>
          <w:szCs w:val="28"/>
        </w:rPr>
        <w:t>deletion of the sales links. After that, Tmall took the action of deleting the sales links.</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Secondly, there is little chance that the manufacture and sales of the alleged infringing products of Yetou Company. Based on the evidence, cross-examination, and infringement comparison of the parties concerned, and with reference to the fact that Ding Xiaomei's another patent for utility model of "Portable Infant Foldable Mosquito Curtain" had been declared invalid, the court initially held that the possibility of infringement is minor.</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Thirdly, it will cause irretrievable losses to Yetou Company if the sales links can't be resumed. The sales of the alleged infringing products </w:t>
      </w:r>
      <w:r>
        <w:rPr>
          <w:rFonts w:hint="eastAsia"/>
          <w:sz w:val="28"/>
          <w:szCs w:val="28"/>
        </w:rPr>
        <w:t>mainly</w:t>
      </w:r>
      <w:r w:rsidRPr="005A1DD1">
        <w:rPr>
          <w:sz w:val="28"/>
          <w:szCs w:val="28"/>
        </w:rPr>
        <w:t xml:space="preserve"> rely on the accumulation of goodwill and word-of-mouth and </w:t>
      </w:r>
      <w:r>
        <w:rPr>
          <w:rFonts w:hint="eastAsia"/>
          <w:sz w:val="28"/>
          <w:szCs w:val="28"/>
        </w:rPr>
        <w:t xml:space="preserve">the </w:t>
      </w:r>
      <w:r w:rsidRPr="005A1DD1">
        <w:rPr>
          <w:sz w:val="28"/>
          <w:szCs w:val="28"/>
        </w:rPr>
        <w:t xml:space="preserve">timing of sales. The sales of the alleged infringing products </w:t>
      </w:r>
      <w:r>
        <w:rPr>
          <w:rFonts w:hint="eastAsia"/>
          <w:sz w:val="28"/>
          <w:szCs w:val="28"/>
        </w:rPr>
        <w:t>are</w:t>
      </w:r>
      <w:r w:rsidRPr="005A1DD1">
        <w:rPr>
          <w:sz w:val="28"/>
          <w:szCs w:val="28"/>
        </w:rPr>
        <w:t xml:space="preserve"> highly seasonal, and the possibility of constituting infringement is minor. In this regard, the accumulated goodwill and word-of-month of Yetou Company and the alleged infringing products may be damagedconstantly</w:t>
      </w:r>
      <w:r>
        <w:rPr>
          <w:rFonts w:hint="eastAsia"/>
          <w:sz w:val="28"/>
          <w:szCs w:val="28"/>
        </w:rPr>
        <w:t>,</w:t>
      </w:r>
      <w:r w:rsidRPr="005A1DD1">
        <w:rPr>
          <w:sz w:val="28"/>
          <w:szCs w:val="28"/>
        </w:rPr>
        <w:t xml:space="preserve"> and trade opportunities may be deprived if the deleted sales links are not resumed in a timely manner, which may further result in irretrievable losses.</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Fourthly, Yetou Company provided certain guarantee. The sales of the alleged infringing products </w:t>
      </w:r>
      <w:r>
        <w:rPr>
          <w:rFonts w:hint="eastAsia"/>
          <w:sz w:val="28"/>
          <w:szCs w:val="28"/>
        </w:rPr>
        <w:t>are</w:t>
      </w:r>
      <w:r w:rsidRPr="005A1DD1">
        <w:rPr>
          <w:sz w:val="28"/>
          <w:szCs w:val="28"/>
        </w:rPr>
        <w:t xml:space="preserve"> highly seasonal, and Yetou Company calculated an amount based on an appropriate multiple of the previous monthly sales volume of the alleged infringing products, multiplied by the approximate number of selling months following the expected resumption of the sales links, thereby offered cash guarantee based on the amount, and warranted that the </w:t>
      </w:r>
      <w:r w:rsidRPr="005A1DD1">
        <w:rPr>
          <w:sz w:val="28"/>
          <w:szCs w:val="28"/>
        </w:rPr>
        <w:lastRenderedPageBreak/>
        <w:t>accountable compensation liability could be realized if the infringement was established. Tmall also undertook that it could provide all sales records of the alleged infringing products from the moment that the sales links of the alleged infringing products are resumed, as a reference for calculation of the compensation amount.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Nanjing Intermediate People's Court held that the application of Yetou Company complies with the relevant laws and regulations. Pursuant to the provisions of Article 106(3) and Article 107 of the Civil Procedure Law of the People's Republic of China, the court ruled th</w:t>
      </w:r>
      <w:r>
        <w:rPr>
          <w:sz w:val="28"/>
          <w:szCs w:val="28"/>
        </w:rPr>
        <w:t>a</w:t>
      </w:r>
      <w:r w:rsidRPr="005A1DD1">
        <w:rPr>
          <w:sz w:val="28"/>
          <w:szCs w:val="28"/>
        </w:rPr>
        <w:t>t: Tmall shall immediately resume the sales links of the alleged infringing products of Yetou Company, i.e., "Light-blocking U-shaped Mosquito Curtain" and "Upgraded U-shaped Mosquito Curtain", on the Tmall online shopping platform.</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After the ruling was made, the respondent didn't apply for reconsideration.</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[Typical Significance]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The case is known as the first "Reverse Act Preservation" case in China, which evoked strong reaction in </w:t>
      </w:r>
      <w:r>
        <w:rPr>
          <w:sz w:val="28"/>
          <w:szCs w:val="28"/>
        </w:rPr>
        <w:t>China</w:t>
      </w:r>
      <w:r w:rsidRPr="005A1DD1">
        <w:rPr>
          <w:sz w:val="28"/>
          <w:szCs w:val="28"/>
        </w:rPr>
        <w:t xml:space="preserve">. Distinguished from the fact that a patentee usually applies to the court for act preservation, i.e., temporary injunction, in order to stop the infringement in a timely manner, the particularity of this case lies is that, in patent infringement suits, the alleged infringer applied to the court for advance resumption of the deleted sales links on the e-commerce network platform, which was supported and permitted by the court. Generally speaking, online shopping platforms such as Tmall normally make their decisions in accordance with their </w:t>
      </w:r>
      <w:r>
        <w:rPr>
          <w:rFonts w:hint="eastAsia"/>
          <w:sz w:val="28"/>
          <w:szCs w:val="28"/>
        </w:rPr>
        <w:t>own</w:t>
      </w:r>
      <w:r w:rsidRPr="005A1DD1">
        <w:rPr>
          <w:sz w:val="28"/>
          <w:szCs w:val="28"/>
        </w:rPr>
        <w:t xml:space="preserve"> platform rules and procedures for handling intellectual property right complaints and on the basis of the complaint materials of the complainant and the appeal materials of the respondent. Such decisions may include maintenance of </w:t>
      </w:r>
      <w:r>
        <w:rPr>
          <w:rFonts w:hint="eastAsia"/>
          <w:sz w:val="28"/>
          <w:szCs w:val="28"/>
        </w:rPr>
        <w:t xml:space="preserve">the </w:t>
      </w:r>
      <w:r w:rsidRPr="005A1DD1">
        <w:rPr>
          <w:sz w:val="28"/>
          <w:szCs w:val="28"/>
        </w:rPr>
        <w:t>status quo or taking necessary steps such as deletion, shielding, or disconnection of links as well as transaction and service termination. However, once a complaining retailer initiates legal proceedings in relation to the infringement of intellectual property right</w:t>
      </w:r>
      <w:r>
        <w:rPr>
          <w:rFonts w:hint="eastAsia"/>
          <w:sz w:val="28"/>
          <w:szCs w:val="28"/>
        </w:rPr>
        <w:t>s</w:t>
      </w:r>
      <w:r w:rsidRPr="005A1DD1">
        <w:rPr>
          <w:sz w:val="28"/>
          <w:szCs w:val="28"/>
        </w:rPr>
        <w:t xml:space="preserve">, the online shopping platforms generally will take measures such as </w:t>
      </w:r>
      <w:r>
        <w:rPr>
          <w:rFonts w:hint="eastAsia"/>
          <w:sz w:val="28"/>
          <w:szCs w:val="28"/>
        </w:rPr>
        <w:t xml:space="preserve">the </w:t>
      </w:r>
      <w:r w:rsidRPr="005A1DD1">
        <w:rPr>
          <w:sz w:val="28"/>
          <w:szCs w:val="28"/>
        </w:rPr>
        <w:t xml:space="preserve">deletion of </w:t>
      </w:r>
      <w:r w:rsidRPr="005A1DD1">
        <w:rPr>
          <w:sz w:val="28"/>
          <w:szCs w:val="28"/>
        </w:rPr>
        <w:lastRenderedPageBreak/>
        <w:t xml:space="preserve">sales links. An obligee's submission of its complaint to an online shopping platform and require it to take measures such as disconnection of sales links, is similar to the application for the act preservation measure (temporary injunction) in civil actions. And if the court judges and decides to resume the deleted sales links in advance on </w:t>
      </w:r>
      <w:r>
        <w:rPr>
          <w:rFonts w:hint="eastAsia"/>
          <w:sz w:val="28"/>
          <w:szCs w:val="28"/>
        </w:rPr>
        <w:t xml:space="preserve">the </w:t>
      </w:r>
      <w:r w:rsidRPr="005A1DD1">
        <w:rPr>
          <w:sz w:val="28"/>
          <w:szCs w:val="28"/>
        </w:rPr>
        <w:t>basis of the respondent's application, it is referred to as "Reverse Act Preservation".</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The significance of the ruling of advance resumption of the deleted links in this case is that, it can effectively and promptly prevent the link deletion from causing irretrievable losses </w:t>
      </w:r>
      <w:r>
        <w:rPr>
          <w:sz w:val="28"/>
          <w:szCs w:val="28"/>
        </w:rPr>
        <w:t>to the merchant on the platform</w:t>
      </w:r>
      <w:r>
        <w:rPr>
          <w:rFonts w:hint="eastAsia"/>
          <w:sz w:val="28"/>
          <w:szCs w:val="28"/>
        </w:rPr>
        <w:t>;</w:t>
      </w:r>
      <w:r w:rsidRPr="005A1DD1">
        <w:rPr>
          <w:sz w:val="28"/>
          <w:szCs w:val="28"/>
        </w:rPr>
        <w:t xml:space="preserve"> thus it relieves the malicious complaint burden in e-commerce, promotes </w:t>
      </w:r>
      <w:r>
        <w:rPr>
          <w:rFonts w:hint="eastAsia"/>
          <w:sz w:val="28"/>
          <w:szCs w:val="28"/>
        </w:rPr>
        <w:t xml:space="preserve">the </w:t>
      </w:r>
      <w:r w:rsidRPr="005A1DD1">
        <w:rPr>
          <w:sz w:val="28"/>
          <w:szCs w:val="28"/>
        </w:rPr>
        <w:t xml:space="preserve">healthy development of e-commerce, and makes up for the deficiency in current legislation, which is featured with significant value in terms of </w:t>
      </w:r>
      <w:r>
        <w:rPr>
          <w:rFonts w:hint="eastAsia"/>
          <w:sz w:val="28"/>
          <w:szCs w:val="28"/>
        </w:rPr>
        <w:t xml:space="preserve">the </w:t>
      </w:r>
      <w:r w:rsidRPr="005A1DD1">
        <w:rPr>
          <w:sz w:val="28"/>
          <w:szCs w:val="28"/>
        </w:rPr>
        <w:t>application of law and lawmaking as well as pressing practical significance. Besides, it provides a practical sample, new enlightenment, and new thinking in order to further explore the applicable conditions of advance execution and act preservation system and improve the relevant legal system. To be specific:</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1. The ruling effectively prevents </w:t>
      </w:r>
      <w:r>
        <w:rPr>
          <w:rFonts w:hint="eastAsia"/>
          <w:sz w:val="28"/>
          <w:szCs w:val="28"/>
        </w:rPr>
        <w:t xml:space="preserve">the </w:t>
      </w:r>
      <w:r w:rsidRPr="005A1DD1">
        <w:rPr>
          <w:sz w:val="28"/>
          <w:szCs w:val="28"/>
        </w:rPr>
        <w:t xml:space="preserve">increasing losses of the respondent. Currently, the sales of products being complained or the alleged infringing products </w:t>
      </w:r>
      <w:r>
        <w:rPr>
          <w:rFonts w:hint="eastAsia"/>
          <w:sz w:val="28"/>
          <w:szCs w:val="28"/>
        </w:rPr>
        <w:t>mainly</w:t>
      </w:r>
      <w:r w:rsidRPr="005A1DD1">
        <w:rPr>
          <w:sz w:val="28"/>
          <w:szCs w:val="28"/>
        </w:rPr>
        <w:t xml:space="preserve"> rely on the accumulation of goodwill and word-of-mouth and timing of sales. Though the court eventually determined to favor the alleged infringer with justice, however, invalidated sales links may cause irretrievable losses to the alleged infringer due to the instantaneousness of online transactions (especially, the particular adhesiveness of online customers). In particular, certain particular commodities are featured with stronger seasonality. In peak season, the accumulated goodwill and word-of-month of the respondent or its complained products may be damaged constantly</w:t>
      </w:r>
      <w:r>
        <w:rPr>
          <w:rFonts w:hint="eastAsia"/>
          <w:sz w:val="28"/>
          <w:szCs w:val="28"/>
        </w:rPr>
        <w:t>,</w:t>
      </w:r>
      <w:r w:rsidRPr="005A1DD1">
        <w:rPr>
          <w:sz w:val="28"/>
          <w:szCs w:val="28"/>
        </w:rPr>
        <w:t xml:space="preserve"> and trade opportunities may be deprived if the deleted sales links are not resumed in a timely manner, which may further result in irretrievable losses. This case involves the particular kind of commodity mosquito curtain used in summer, and the deletion of sales links occurred right before the key time node of the "6.18" large-scale online </w:t>
      </w:r>
      <w:r w:rsidRPr="005A1DD1">
        <w:rPr>
          <w:sz w:val="28"/>
          <w:szCs w:val="28"/>
        </w:rPr>
        <w:lastRenderedPageBreak/>
        <w:t>shopping promotional campaign. Thus, the court issued the ruling for advance</w:t>
      </w:r>
      <w:r>
        <w:rPr>
          <w:rFonts w:hint="eastAsia"/>
          <w:sz w:val="28"/>
          <w:szCs w:val="28"/>
        </w:rPr>
        <w:t>d</w:t>
      </w:r>
      <w:r w:rsidRPr="005A1DD1">
        <w:rPr>
          <w:sz w:val="28"/>
          <w:szCs w:val="28"/>
        </w:rPr>
        <w:t xml:space="preserve"> resumption of deleted sales links on June 14, which played a positive role.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2. The ruling makes up for the deficiency in the current E-commerce Law. The e-commerce platform shall notify the respondent of the complaint, and then forward the appeal materials of the respondent (if any) to the complainant. In Article 43 of the E-commerce Law, a "Fifteen-day Waiting Period" is provided for the complainant in order that the complainant may decide whether or not to withdraw the complaint or bring a case to the court, etc. At that point, the online shopping platform may decide whether or not to resume the deleted or disconnected links. As discussed above, such a process and period may deprive the online retailer's trade opportunit</w:t>
      </w:r>
      <w:r>
        <w:rPr>
          <w:rFonts w:hint="eastAsia"/>
          <w:sz w:val="28"/>
          <w:szCs w:val="28"/>
        </w:rPr>
        <w:t>ies</w:t>
      </w:r>
      <w:r w:rsidRPr="005A1DD1">
        <w:rPr>
          <w:sz w:val="28"/>
          <w:szCs w:val="28"/>
        </w:rPr>
        <w:t xml:space="preserve"> and cause irretrievable losses to it, especially for hot-selling items in </w:t>
      </w:r>
      <w:r>
        <w:rPr>
          <w:rFonts w:hint="eastAsia"/>
          <w:sz w:val="28"/>
          <w:szCs w:val="28"/>
        </w:rPr>
        <w:t xml:space="preserve">the </w:t>
      </w:r>
      <w:r w:rsidRPr="005A1DD1">
        <w:rPr>
          <w:sz w:val="28"/>
          <w:szCs w:val="28"/>
        </w:rPr>
        <w:t xml:space="preserve">sales season. In this regard, there is </w:t>
      </w:r>
      <w:r>
        <w:rPr>
          <w:rFonts w:hint="eastAsia"/>
          <w:sz w:val="28"/>
          <w:szCs w:val="28"/>
        </w:rPr>
        <w:t xml:space="preserve">an </w:t>
      </w:r>
      <w:r w:rsidRPr="005A1DD1">
        <w:rPr>
          <w:sz w:val="28"/>
          <w:szCs w:val="28"/>
        </w:rPr>
        <w:t>evident deficiency in the E-commerce Law, which is unable to respond to the pressing reality. Therefore, the Reverse Act Preservation ruling issued by Nanjing Intermediate People's Court innovatively and effectively overcomes the deficiency.</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3. The ruling effectively prevents malicious complaints. Currently, it is common that many business competitors on online shopping platforms take advantage of the deficiency in the E-commerce Law to submit malicious complaints, thereby seeking unfair competition. This case effectively overcomes the dilemma, which is favorable in promoting </w:t>
      </w:r>
      <w:r>
        <w:rPr>
          <w:rFonts w:hint="eastAsia"/>
          <w:sz w:val="28"/>
          <w:szCs w:val="28"/>
        </w:rPr>
        <w:t xml:space="preserve">the </w:t>
      </w:r>
      <w:r w:rsidRPr="005A1DD1">
        <w:rPr>
          <w:sz w:val="28"/>
          <w:szCs w:val="28"/>
        </w:rPr>
        <w:t>healthy development of the e-commerce business.</w:t>
      </w:r>
    </w:p>
    <w:p w:rsidR="00824208" w:rsidRPr="005A1DD1" w:rsidRDefault="00824208" w:rsidP="00824208">
      <w:pPr>
        <w:adjustRightInd w:val="0"/>
        <w:snapToGrid w:val="0"/>
        <w:spacing w:line="312" w:lineRule="auto"/>
        <w:rPr>
          <w:rFonts w:eastAsia="黑体"/>
          <w:sz w:val="28"/>
          <w:szCs w:val="28"/>
        </w:rPr>
      </w:pPr>
      <w:r w:rsidRPr="005A1DD1">
        <w:rPr>
          <w:sz w:val="28"/>
          <w:szCs w:val="28"/>
        </w:rPr>
        <w:br w:type="page"/>
      </w:r>
      <w:r w:rsidRPr="005A1DD1">
        <w:rPr>
          <w:sz w:val="28"/>
          <w:szCs w:val="28"/>
        </w:rPr>
        <w:lastRenderedPageBreak/>
        <w:t xml:space="preserve">8. </w:t>
      </w:r>
      <w:r w:rsidRPr="00351179">
        <w:rPr>
          <w:sz w:val="28"/>
          <w:szCs w:val="28"/>
        </w:rPr>
        <w:t>A case involving the filing of an intellectual property lawsuit maliciously under the circumstance of knowing the absence of legitimate rights</w:t>
      </w:r>
    </w:p>
    <w:p w:rsidR="00824208" w:rsidRPr="005A1DD1" w:rsidRDefault="00824208" w:rsidP="00824208">
      <w:pPr>
        <w:adjustRightInd w:val="0"/>
        <w:snapToGrid w:val="0"/>
        <w:spacing w:line="312" w:lineRule="auto"/>
        <w:rPr>
          <w:rFonts w:eastAsia="仿宋_GB2312"/>
          <w:sz w:val="28"/>
          <w:szCs w:val="28"/>
        </w:rPr>
      </w:pPr>
      <w:r w:rsidRPr="005A1DD1">
        <w:rPr>
          <w:sz w:val="28"/>
          <w:szCs w:val="28"/>
        </w:rPr>
        <w:t>—</w:t>
      </w:r>
      <w:r w:rsidRPr="00351179">
        <w:rPr>
          <w:sz w:val="28"/>
          <w:szCs w:val="28"/>
        </w:rPr>
        <w:t>SuqianYanghe Town Tianxiaxiu Winery Industry Co., Ltd. v. SuqianYanghe Town Yuyuan Brewery Factory: Case of Dispute over Liability for Damages Arising from Malicious Intellectual Property Lawsuit</w:t>
      </w:r>
    </w:p>
    <w:p w:rsidR="00824208" w:rsidRPr="005A1DD1" w:rsidRDefault="00824208" w:rsidP="00824208">
      <w:pPr>
        <w:adjustRightInd w:val="0"/>
        <w:snapToGrid w:val="0"/>
        <w:spacing w:line="312" w:lineRule="auto"/>
        <w:ind w:firstLineChars="200" w:firstLine="560"/>
        <w:rPr>
          <w:rFonts w:eastAsia="仿宋_GB2312"/>
          <w:sz w:val="28"/>
          <w:szCs w:val="28"/>
        </w:rPr>
      </w:pP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[Case Information]</w:t>
      </w:r>
    </w:p>
    <w:p w:rsidR="00824208" w:rsidRPr="005A1DD1" w:rsidRDefault="00824208" w:rsidP="00824208">
      <w:pPr>
        <w:adjustRightInd w:val="0"/>
        <w:snapToGrid w:val="0"/>
        <w:spacing w:line="312" w:lineRule="auto"/>
        <w:ind w:leftChars="267" w:left="2241" w:hangingChars="600" w:hanging="1680"/>
        <w:rPr>
          <w:rFonts w:eastAsia="仿宋_GB2312"/>
          <w:sz w:val="28"/>
          <w:szCs w:val="28"/>
        </w:rPr>
      </w:pPr>
      <w:r w:rsidRPr="005A1DD1">
        <w:rPr>
          <w:sz w:val="28"/>
          <w:szCs w:val="28"/>
        </w:rPr>
        <w:t>Case No.:</w:t>
      </w:r>
      <w:r>
        <w:rPr>
          <w:sz w:val="28"/>
          <w:szCs w:val="28"/>
        </w:rPr>
        <w:tab/>
      </w:r>
      <w:r w:rsidRPr="00922B89">
        <w:rPr>
          <w:rFonts w:eastAsia="仿宋_GB2312"/>
          <w:sz w:val="28"/>
          <w:szCs w:val="28"/>
        </w:rPr>
        <w:t>Nanjing</w:t>
      </w:r>
      <w:r w:rsidRPr="005A1DD1">
        <w:rPr>
          <w:sz w:val="28"/>
          <w:szCs w:val="28"/>
        </w:rPr>
        <w:t xml:space="preserve"> Intermediate People's Court (2017) S. 01 M.C. No. 1368</w:t>
      </w:r>
    </w:p>
    <w:p w:rsidR="00824208" w:rsidRPr="005A1DD1" w:rsidRDefault="00824208" w:rsidP="00824208">
      <w:pPr>
        <w:adjustRightInd w:val="0"/>
        <w:snapToGrid w:val="0"/>
        <w:spacing w:line="312" w:lineRule="auto"/>
        <w:ind w:left="1821" w:firstLine="420"/>
        <w:rPr>
          <w:rFonts w:eastAsia="仿宋_GB2312"/>
          <w:sz w:val="28"/>
          <w:szCs w:val="28"/>
        </w:rPr>
      </w:pPr>
      <w:r w:rsidRPr="005A1DD1">
        <w:rPr>
          <w:sz w:val="28"/>
          <w:szCs w:val="28"/>
        </w:rPr>
        <w:t>Jiangsu High People’s Court (2018) S.M.Z. No. 119</w:t>
      </w:r>
    </w:p>
    <w:p w:rsidR="00824208" w:rsidRPr="005A1DD1" w:rsidRDefault="00824208" w:rsidP="00824208">
      <w:pPr>
        <w:adjustRightInd w:val="0"/>
        <w:snapToGrid w:val="0"/>
        <w:spacing w:line="312" w:lineRule="auto"/>
        <w:ind w:leftChars="267" w:left="2241" w:hangingChars="600" w:hanging="1680"/>
        <w:rPr>
          <w:rFonts w:eastAsia="仿宋_GB2312"/>
          <w:sz w:val="28"/>
          <w:szCs w:val="28"/>
        </w:rPr>
      </w:pPr>
      <w:r w:rsidRPr="005A1DD1">
        <w:rPr>
          <w:sz w:val="28"/>
          <w:szCs w:val="28"/>
        </w:rPr>
        <w:t>Plaintiff:</w:t>
      </w:r>
      <w:r>
        <w:rPr>
          <w:sz w:val="28"/>
          <w:szCs w:val="28"/>
        </w:rPr>
        <w:tab/>
      </w:r>
      <w:r w:rsidRPr="00922B89">
        <w:rPr>
          <w:rFonts w:eastAsia="仿宋_GB2312"/>
          <w:sz w:val="28"/>
          <w:szCs w:val="28"/>
        </w:rPr>
        <w:t>Suqian</w:t>
      </w:r>
      <w:r w:rsidRPr="005A1DD1">
        <w:rPr>
          <w:sz w:val="28"/>
          <w:szCs w:val="28"/>
        </w:rPr>
        <w:t>Yanghe Town Tianxiaxiu Winery Industry Co., Ltd.</w:t>
      </w:r>
    </w:p>
    <w:p w:rsidR="00824208" w:rsidRPr="005A1DD1" w:rsidRDefault="00824208" w:rsidP="00824208">
      <w:pPr>
        <w:adjustRightInd w:val="0"/>
        <w:snapToGrid w:val="0"/>
        <w:spacing w:line="312" w:lineRule="auto"/>
        <w:ind w:leftChars="267" w:left="2241" w:hangingChars="600" w:hanging="1680"/>
        <w:rPr>
          <w:rFonts w:eastAsia="仿宋_GB2312"/>
          <w:sz w:val="28"/>
          <w:szCs w:val="28"/>
        </w:rPr>
      </w:pPr>
      <w:r w:rsidRPr="005A1DD1">
        <w:rPr>
          <w:sz w:val="28"/>
          <w:szCs w:val="28"/>
        </w:rPr>
        <w:t>Defendant:</w:t>
      </w:r>
      <w:r>
        <w:rPr>
          <w:sz w:val="28"/>
          <w:szCs w:val="28"/>
        </w:rPr>
        <w:tab/>
      </w:r>
      <w:r w:rsidRPr="00922B89">
        <w:rPr>
          <w:rFonts w:eastAsia="仿宋_GB2312"/>
          <w:sz w:val="28"/>
          <w:szCs w:val="28"/>
        </w:rPr>
        <w:t>Suqian</w:t>
      </w:r>
      <w:r w:rsidRPr="005A1DD1">
        <w:rPr>
          <w:sz w:val="28"/>
          <w:szCs w:val="28"/>
        </w:rPr>
        <w:t>Yanghe Town Yuyuan Brewery Factory</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[Adjudication Gist]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1. The infringer took advantage of the system in which no substantive examination is conducted for the granting of design patents, and intentionally used others' prior registered trademark as part of its design patent applied for registration in violation of the provisions Article 23(3) of the Patent Law, and obtained the "legitimate" intellectual propertyin </w:t>
      </w:r>
      <w:r>
        <w:rPr>
          <w:rFonts w:hint="eastAsia"/>
          <w:sz w:val="28"/>
          <w:szCs w:val="28"/>
        </w:rPr>
        <w:t xml:space="preserve">the </w:t>
      </w:r>
      <w:r w:rsidRPr="005A1DD1">
        <w:rPr>
          <w:sz w:val="28"/>
          <w:szCs w:val="28"/>
        </w:rPr>
        <w:t>form on the basis of infringing others' legal rights. Such rights shall not have any substantive legitimacy.</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2. The infringer knew that the intellectual property rights obtained did not have any substantive legitimacy, but he still filed infringement lawsuits against others with the intellectual property rights legitimate in form and requested for compensation, which violated the principle of good faith in civil actions and abused the procedural right for maliciously filing intellectual property lawsuits. The infringer shall bear legal liability for compensating the losses caused to others.</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[Case Description]</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On July 10, 2013, Li Zhibing, an employee of SuqianYanghe Town Yuyuan Brewery Factory (hereinafter referred to as "Yuyuan Brewery Factory") applied </w:t>
      </w:r>
      <w:r w:rsidRPr="005A1DD1">
        <w:rPr>
          <w:sz w:val="28"/>
          <w:szCs w:val="28"/>
        </w:rPr>
        <w:lastRenderedPageBreak/>
        <w:t>to the State Intellectual Property Office for registration of four design patents (hereinafter ref</w:t>
      </w:r>
      <w:r>
        <w:rPr>
          <w:sz w:val="28"/>
          <w:szCs w:val="28"/>
        </w:rPr>
        <w:t>erred to as "involved patents")</w:t>
      </w:r>
      <w:r>
        <w:rPr>
          <w:rFonts w:hint="eastAsia"/>
          <w:sz w:val="28"/>
          <w:szCs w:val="28"/>
        </w:rPr>
        <w:t>;</w:t>
      </w:r>
      <w:r w:rsidRPr="005A1DD1">
        <w:rPr>
          <w:sz w:val="28"/>
          <w:szCs w:val="28"/>
        </w:rPr>
        <w:t xml:space="preserve"> namely, ZL201330319767.7 "Wine Box (Chinese Dream Legend 3)", ZL201330319762.4 "Wine Box (Chinese Dream Legend 6)", ZL201330319966.8 "Wine Box (Chinese Dream Legend 9)", and ZL201330319766.2 "Wine Bottle (Chinese Dream Legend 9)", and these design patents were granted on December 4, 2013. Later, Li Zhibing exclusively licensed Yuyuan Brewery Factory to implement the involved patents. In June 2016, Yuyuan Brewery Factory, as a licensee for the exclusive implementation of the involved patents, filed three lawsuits with the numbers of (2016) S. 01 M.C. No. 858, No. 859, and No. 860 to the Nanjing Intermediate People's Court, claiming that three liquor products produced and sold by SuqianYanghe Town Tianxiaxiu Winery Industry Co., Ltd. (hereinafter referred to as "Tianxiaxiu Winery") infringed on its involved patent rights, and requested that Tianxiaxiu Winery should stop the production and sales and compensate for its losses. In December 2016, the Patent Reexamination Board of the State Intellectual Property Office (hereinafter referred to as the "Patent Reexamination Board") declared that the marking "</w:t>
      </w:r>
      <w:r w:rsidRPr="005A1DD1">
        <w:rPr>
          <w:sz w:val="28"/>
          <w:szCs w:val="28"/>
        </w:rPr>
        <w:t>洋河</w:t>
      </w:r>
      <w:r w:rsidRPr="005A1DD1">
        <w:rPr>
          <w:sz w:val="28"/>
          <w:szCs w:val="28"/>
        </w:rPr>
        <w:t>" on the involved patents constituted similar trademarks with No. 1470448 registered trademark "</w:t>
      </w:r>
      <w:r w:rsidRPr="005A1DD1">
        <w:rPr>
          <w:sz w:val="28"/>
          <w:szCs w:val="28"/>
        </w:rPr>
        <w:t>洋河</w:t>
      </w:r>
      <w:r w:rsidRPr="005A1DD1">
        <w:rPr>
          <w:sz w:val="28"/>
          <w:szCs w:val="28"/>
        </w:rPr>
        <w:t>" registered by Jiangsu Yanghe Brewery Joint-Stock Co., Ltd. (hereinafter referred to as "Yanghe Brewery"), which might mislead the relevant public on the sources of the products, or the relevant public might believe that the sources of the products were associated with the No. 1470448 registered trademark. The involved patents conflicted with the legal rights already obtained by others before the application date, which was against the provisions of Article 23(3) of the Patent Law</w:t>
      </w:r>
      <w:r>
        <w:rPr>
          <w:rFonts w:hint="eastAsia"/>
          <w:sz w:val="28"/>
          <w:szCs w:val="28"/>
        </w:rPr>
        <w:t>;</w:t>
      </w:r>
      <w:r w:rsidRPr="005A1DD1">
        <w:rPr>
          <w:sz w:val="28"/>
          <w:szCs w:val="28"/>
        </w:rPr>
        <w:t xml:space="preserve"> thus the Patent Reexamination Board issued the No. 30928, No. 30929, No. 30930, and No. 30937 Decision of Examination of Request for Invalidation, declaring all the aforesaid four design patents invalid. In respect of the (2016) S. 01 M.C. No. 858, No. 859, and No. 860 cases, Nanjing Intermediate People's Court dismissed the lawsuit of Yuyuan Brewery Factory according to law.</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Tianxiaxiu Winery held that Yuyuan Brewery Factory obtained the patent </w:t>
      </w:r>
      <w:r w:rsidRPr="005A1DD1">
        <w:rPr>
          <w:sz w:val="28"/>
          <w:szCs w:val="28"/>
        </w:rPr>
        <w:lastRenderedPageBreak/>
        <w:t xml:space="preserve">rights maliciously and knowingly, and still sued Tianxiaxiu Winery for infringement, which was a malicious lawsuit of intellectual property, thus requesting Yuyuan Brewery Factory to compensate RMB 300,000 for its losses, including RMB 132,000 for attorney fees, RMB 3,725 for travel expenses, RMB 4,500 for the fee for </w:t>
      </w:r>
      <w:r>
        <w:rPr>
          <w:rFonts w:hint="eastAsia"/>
          <w:sz w:val="28"/>
          <w:szCs w:val="28"/>
        </w:rPr>
        <w:t xml:space="preserve">the </w:t>
      </w:r>
      <w:r w:rsidRPr="005A1DD1">
        <w:rPr>
          <w:sz w:val="28"/>
          <w:szCs w:val="28"/>
        </w:rPr>
        <w:t>request for decla</w:t>
      </w:r>
      <w:r>
        <w:rPr>
          <w:sz w:val="28"/>
          <w:szCs w:val="28"/>
        </w:rPr>
        <w:t xml:space="preserve">ration of invalidation, and </w:t>
      </w:r>
      <w:r w:rsidRPr="005A1DD1">
        <w:rPr>
          <w:sz w:val="28"/>
          <w:szCs w:val="28"/>
        </w:rPr>
        <w:t>the loss of goodwill.</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Tianxiaxiu Winery provided the judgment of Suqian Intermediate People's Court of Jiangsu Province (2013) S.Z.Z.M.C.Z. No. 0047 as evidence. The judgment stated that: On September 6, 2011, the law enforcement officers of Jianye Branch of Nanjing Municipal Administration for Industry and Commerce received a complaint from Yanghe Brewery that the packages of "46% Blue Collection M6", "42% Blue Collection A9", and other series of liquor products, which were produced by Yuyuan Brewery Factory and sold in Nanjing Shuiximen Street branch of Wal-Mart (Jiangsu) Commercial Retail Co., Ltd., were marked with characters "</w:t>
      </w:r>
      <w:r w:rsidRPr="005A1DD1">
        <w:rPr>
          <w:sz w:val="28"/>
          <w:szCs w:val="28"/>
        </w:rPr>
        <w:t>中国洋河</w:t>
      </w:r>
      <w:r w:rsidRPr="005A1DD1">
        <w:rPr>
          <w:sz w:val="28"/>
          <w:szCs w:val="28"/>
        </w:rPr>
        <w:t>" or "</w:t>
      </w:r>
      <w:r w:rsidRPr="005A1DD1">
        <w:rPr>
          <w:sz w:val="28"/>
          <w:szCs w:val="28"/>
        </w:rPr>
        <w:t>江苏洋河</w:t>
      </w:r>
      <w:r w:rsidRPr="005A1DD1">
        <w:rPr>
          <w:sz w:val="28"/>
          <w:szCs w:val="28"/>
        </w:rPr>
        <w:t>", and the shape of the liquor bottle of "42% Blue Collection A9" was highly similar to that of the liquor bottle of "Dream Blue" produced by Yanghe Brewery. On September 30, 2011, Jianye Branch of Nanjing Administration for Industry and Commerce imposed an administrative penalty on the Nanjing Shuiximen Street branch of Wal-Mart (Jiangsu) Commercial Retail Co., Ltd., ordering Nanjing Shuiximen Street branch of Wal-Mart (Jiangsu) Commercial Retail Co., Ltd. to stop the infringement immediately. Meanwhile, the judgment decided that the packages of "46% Blue Collection M6", "42% Blue Collection A9", "China Yanghe 5A Wine Exclusive for VIPs"</w:t>
      </w:r>
      <w:r>
        <w:rPr>
          <w:sz w:val="28"/>
          <w:szCs w:val="28"/>
        </w:rPr>
        <w:t>, "China Yanghe 5A Dream of B</w:t>
      </w:r>
      <w:r>
        <w:rPr>
          <w:rFonts w:hint="eastAsia"/>
          <w:sz w:val="28"/>
          <w:szCs w:val="28"/>
        </w:rPr>
        <w:t>lue</w:t>
      </w:r>
      <w:r w:rsidRPr="005A1DD1">
        <w:rPr>
          <w:sz w:val="28"/>
          <w:szCs w:val="28"/>
        </w:rPr>
        <w:t xml:space="preserve"> Wine", and other series of liquor products, which were produced and sold by Yuyuan Brewery Factory, were marked with characters"</w:t>
      </w:r>
      <w:r w:rsidRPr="005A1DD1">
        <w:rPr>
          <w:sz w:val="28"/>
          <w:szCs w:val="28"/>
        </w:rPr>
        <w:t>中国洋河</w:t>
      </w:r>
      <w:r w:rsidRPr="005A1DD1">
        <w:rPr>
          <w:sz w:val="28"/>
          <w:szCs w:val="28"/>
        </w:rPr>
        <w:t>" or "</w:t>
      </w:r>
      <w:r w:rsidRPr="005A1DD1">
        <w:rPr>
          <w:sz w:val="28"/>
          <w:szCs w:val="28"/>
        </w:rPr>
        <w:t>江苏洋河</w:t>
      </w:r>
      <w:r w:rsidRPr="005A1DD1">
        <w:rPr>
          <w:sz w:val="28"/>
          <w:szCs w:val="28"/>
        </w:rPr>
        <w:t>", and the shape of the liquor bottle of "42 % Blue Collection A9" was highly similar to that of the liquor bottle of "Dream Blue" produced by Yanghe Brewery, which infringed the exclusive right of No. 1470448 "</w:t>
      </w:r>
      <w:r w:rsidRPr="005A1DD1">
        <w:rPr>
          <w:sz w:val="28"/>
          <w:szCs w:val="28"/>
        </w:rPr>
        <w:t>洋河</w:t>
      </w:r>
      <w:r w:rsidRPr="005A1DD1">
        <w:rPr>
          <w:sz w:val="28"/>
          <w:szCs w:val="28"/>
        </w:rPr>
        <w:t xml:space="preserve">" registered trademark held by Yanghe Brewery. Tianxiaxiu Winery claimed that, facts determined in the judgment </w:t>
      </w:r>
      <w:r w:rsidRPr="005A1DD1">
        <w:rPr>
          <w:sz w:val="28"/>
          <w:szCs w:val="28"/>
        </w:rPr>
        <w:lastRenderedPageBreak/>
        <w:t>predated the date on which Yuyuan Brewery Factory applied for registration of the involved patents; on January 7, 2014, Li Yinjiu, an employee of Yuyuan Brewery Factory, applied for registration of the No. 201430003600.4 design patent named as "Wine Box (Chinese Dream Red)", in which characters "</w:t>
      </w:r>
      <w:r w:rsidRPr="005A1DD1">
        <w:rPr>
          <w:sz w:val="28"/>
          <w:szCs w:val="28"/>
        </w:rPr>
        <w:t>江苏洋河镇</w:t>
      </w:r>
      <w:r w:rsidRPr="005A1DD1">
        <w:rPr>
          <w:sz w:val="28"/>
          <w:szCs w:val="28"/>
        </w:rPr>
        <w:t>" instead of characters "</w:t>
      </w:r>
      <w:r w:rsidRPr="005A1DD1">
        <w:rPr>
          <w:sz w:val="28"/>
          <w:szCs w:val="28"/>
        </w:rPr>
        <w:t>洋河</w:t>
      </w:r>
      <w:r w:rsidRPr="005A1DD1">
        <w:rPr>
          <w:sz w:val="28"/>
          <w:szCs w:val="28"/>
        </w:rPr>
        <w:t>" had been highlighted. According to the aforesaid facts, it can be seen that Yuyuan Brewery Factory knew that its patents did not comply with granting conditions but still sued Tianxiaxiu Winery, which showed its obvious subjective malice. Yuyuan Brewery Factory held that the judgment involved trademark infringement, rather than infringement of design patent rights. Li Zhibing applied for registration of the patents out of his own free will. Yuyuan Brewery Factory did not have subjective malice.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Yuyuan Brewery Factory provided evidence including the (2015) Z.Z.M.C.Z. No. 73 Judgment, the (2015) Z.Z.M.C.Z. No. 74 Judgment, the settlement agreement and the letter of guarantee. Yuyuan Brewery Factory claimed that the aforesaid evidence had proved that, it protected its patents in Zhenjiang Intermediate People's Court and Nanjing Intermediate People's Court in 2015 and 2016 respectively, and was supported by the judgment of the Zhenjiang Intermediate People's Court or reached settlements with the outsider, which indicated that Yuyuan Brewery Factory had legally owned the rights of involved patents, and the lawsuit it filed was to protect its rights without subjective malice. Tianxiaxiu Winery held that Yuyuan Brewery Factory had turned its protection of rights into regular acts, and should have a higher duty of care for its own rights.</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[Decision of the Court]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The Nanjing Intermediate People's Court, as the court of first instance, found that: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The term "malicious prosecution" usually refers to the act that one party deliberately files a baseless lawsuit, in fact and in law, for the purpose of obtaining illegal or illegitimate profits, which causes losses to the opposite party.</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Firstly, Yuyuan Brewery Factory filed three intellectual property lawsuits </w:t>
      </w:r>
      <w:r w:rsidRPr="005A1DD1">
        <w:rPr>
          <w:sz w:val="28"/>
          <w:szCs w:val="28"/>
        </w:rPr>
        <w:lastRenderedPageBreak/>
        <w:t>against Tianxiaxiu Winery. Secondly, Yuyuan Brewery Factory had faults. Yuyuan Brewery Factory, as a party to the (2013) S.Z.Z.M.C.Z.</w:t>
      </w:r>
      <w:r>
        <w:rPr>
          <w:sz w:val="28"/>
          <w:szCs w:val="28"/>
        </w:rPr>
        <w:t xml:space="preserve"> No. 0047 Judgment, at least </w:t>
      </w:r>
      <w:r w:rsidRPr="005A1DD1">
        <w:rPr>
          <w:sz w:val="28"/>
          <w:szCs w:val="28"/>
        </w:rPr>
        <w:t>the time when the judgment came into effect, should have known that characters "</w:t>
      </w:r>
      <w:r w:rsidRPr="005A1DD1">
        <w:rPr>
          <w:sz w:val="28"/>
          <w:szCs w:val="28"/>
        </w:rPr>
        <w:t>洋河</w:t>
      </w:r>
      <w:r w:rsidRPr="005A1DD1">
        <w:rPr>
          <w:sz w:val="28"/>
          <w:szCs w:val="28"/>
        </w:rPr>
        <w:t>" in the four involved design patents infringed the trademark "</w:t>
      </w:r>
      <w:r w:rsidRPr="005A1DD1">
        <w:rPr>
          <w:sz w:val="28"/>
          <w:szCs w:val="28"/>
        </w:rPr>
        <w:t>洋河</w:t>
      </w:r>
      <w:r w:rsidRPr="005A1DD1">
        <w:rPr>
          <w:sz w:val="28"/>
          <w:szCs w:val="28"/>
        </w:rPr>
        <w:t>" of the outsider. Moreover, Yuyuan Brewery Factory knew that the involved design patents violated Article 23(3) of the Patent Law, but still filed an intellectual property lawsuit against Tianxiaxiu Winery and requested for compensation, which obviously violated the principle of good faith in civil actions, abused the procedural right, and had obvious malice. In addition, Tianxiaxiu Winery had paid fees</w:t>
      </w:r>
      <w:r>
        <w:rPr>
          <w:rFonts w:hint="eastAsia"/>
          <w:sz w:val="28"/>
          <w:szCs w:val="28"/>
        </w:rPr>
        <w:t>,</w:t>
      </w:r>
      <w:r w:rsidRPr="005A1DD1">
        <w:rPr>
          <w:sz w:val="28"/>
          <w:szCs w:val="28"/>
        </w:rPr>
        <w:t xml:space="preserve"> including attorney fees, travel expenses, and the fee for </w:t>
      </w:r>
      <w:r>
        <w:rPr>
          <w:rFonts w:hint="eastAsia"/>
          <w:sz w:val="28"/>
          <w:szCs w:val="28"/>
        </w:rPr>
        <w:t xml:space="preserve">the </w:t>
      </w:r>
      <w:r w:rsidRPr="005A1DD1">
        <w:rPr>
          <w:sz w:val="28"/>
          <w:szCs w:val="28"/>
        </w:rPr>
        <w:t xml:space="preserve">request for declaration of invalidation to protect its rights. All of the aforesaid fees were direct </w:t>
      </w:r>
      <w:r>
        <w:rPr>
          <w:sz w:val="28"/>
          <w:szCs w:val="28"/>
        </w:rPr>
        <w:t>losses</w:t>
      </w:r>
      <w:r w:rsidRPr="005A1DD1">
        <w:rPr>
          <w:sz w:val="28"/>
          <w:szCs w:val="28"/>
        </w:rPr>
        <w:t xml:space="preserve"> caused by Yuyuan Brewery Factory's act of filing the intellectual property lawsuit.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Accordingly, the court of first instance decided that Yuyuan Brewery Factory shall compensate Tianxiaxiu Winery RMB 140,225. Later, Yuyuan Brewery Factory filed an appeal with Jiangsu High People’s Court against the civil judgment of first instance.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The Jiangsu High People’s Court, as the court of second instance, found that: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Filing intellectual property lawsuits maliciously refers to the act that the actor, knowing that the intellectual property lawsuit is baseless in fact and in law, for the purpose of obtaining illegal or illegitimate profits, still deliberately files an intellectual property lawsuit against others, which causes losses to others. </w:t>
      </w:r>
      <w:r>
        <w:rPr>
          <w:rFonts w:hint="eastAsia"/>
          <w:sz w:val="28"/>
          <w:szCs w:val="28"/>
        </w:rPr>
        <w:t>T</w:t>
      </w:r>
      <w:r w:rsidRPr="005A1DD1">
        <w:rPr>
          <w:sz w:val="28"/>
          <w:szCs w:val="28"/>
        </w:rPr>
        <w:t>he following factors should be key considerations</w:t>
      </w:r>
      <w:r>
        <w:rPr>
          <w:rFonts w:hint="eastAsia"/>
          <w:sz w:val="28"/>
          <w:szCs w:val="28"/>
        </w:rPr>
        <w:t xml:space="preserve"> t</w:t>
      </w:r>
      <w:r w:rsidRPr="005A1DD1">
        <w:rPr>
          <w:sz w:val="28"/>
          <w:szCs w:val="28"/>
        </w:rPr>
        <w:t>o determine whether an actor has filed an intellectu</w:t>
      </w:r>
      <w:r>
        <w:rPr>
          <w:sz w:val="28"/>
          <w:szCs w:val="28"/>
        </w:rPr>
        <w:t>al property lawsuit maliciously</w:t>
      </w:r>
      <w:r w:rsidRPr="005A1DD1">
        <w:rPr>
          <w:sz w:val="28"/>
          <w:szCs w:val="28"/>
        </w:rPr>
        <w:t xml:space="preserve">: 1. The actor files the intellectual property lawsuit without </w:t>
      </w:r>
      <w:r>
        <w:rPr>
          <w:rFonts w:hint="eastAsia"/>
          <w:sz w:val="28"/>
          <w:szCs w:val="28"/>
        </w:rPr>
        <w:t xml:space="preserve">a </w:t>
      </w:r>
      <w:r w:rsidRPr="005A1DD1">
        <w:rPr>
          <w:sz w:val="28"/>
          <w:szCs w:val="28"/>
        </w:rPr>
        <w:t>factual or legal basis. To be specific, the ac</w:t>
      </w:r>
      <w:r>
        <w:rPr>
          <w:sz w:val="28"/>
          <w:szCs w:val="28"/>
        </w:rPr>
        <w:t>tor does not hold</w:t>
      </w:r>
      <w:r w:rsidRPr="005A1DD1">
        <w:rPr>
          <w:sz w:val="28"/>
          <w:szCs w:val="28"/>
        </w:rPr>
        <w:t xml:space="preserve"> intelle</w:t>
      </w:r>
      <w:r>
        <w:rPr>
          <w:sz w:val="28"/>
          <w:szCs w:val="28"/>
        </w:rPr>
        <w:t>ctual property rights</w:t>
      </w:r>
      <w:r>
        <w:rPr>
          <w:rFonts w:hint="eastAsia"/>
          <w:sz w:val="28"/>
          <w:szCs w:val="28"/>
        </w:rPr>
        <w:t>,</w:t>
      </w:r>
      <w:r>
        <w:rPr>
          <w:sz w:val="28"/>
          <w:szCs w:val="28"/>
        </w:rPr>
        <w:t xml:space="preserve"> or even </w:t>
      </w:r>
      <w:r>
        <w:rPr>
          <w:rFonts w:hint="eastAsia"/>
          <w:sz w:val="28"/>
          <w:szCs w:val="28"/>
        </w:rPr>
        <w:t xml:space="preserve">if he or she </w:t>
      </w:r>
      <w:r>
        <w:rPr>
          <w:sz w:val="28"/>
          <w:szCs w:val="28"/>
        </w:rPr>
        <w:t>hold</w:t>
      </w:r>
      <w:r>
        <w:rPr>
          <w:rFonts w:hint="eastAsia"/>
          <w:sz w:val="28"/>
          <w:szCs w:val="28"/>
        </w:rPr>
        <w:t>s</w:t>
      </w:r>
      <w:r w:rsidRPr="005A1DD1">
        <w:rPr>
          <w:sz w:val="28"/>
          <w:szCs w:val="28"/>
        </w:rPr>
        <w:t xml:space="preserve"> intellectual property rights "legitima</w:t>
      </w:r>
      <w:r>
        <w:rPr>
          <w:sz w:val="28"/>
          <w:szCs w:val="28"/>
        </w:rPr>
        <w:t>te" in form, such rights lack</w:t>
      </w:r>
      <w:r w:rsidRPr="005A1DD1">
        <w:rPr>
          <w:sz w:val="28"/>
          <w:szCs w:val="28"/>
        </w:rPr>
        <w:t xml:space="preserve"> substantive legitimacy due to various reasons such as </w:t>
      </w:r>
      <w:r>
        <w:rPr>
          <w:rFonts w:hint="eastAsia"/>
          <w:sz w:val="28"/>
          <w:szCs w:val="28"/>
        </w:rPr>
        <w:t xml:space="preserve">the </w:t>
      </w:r>
      <w:r w:rsidRPr="005A1DD1">
        <w:rPr>
          <w:sz w:val="28"/>
          <w:szCs w:val="28"/>
        </w:rPr>
        <w:t xml:space="preserve">malicious acquisition of such intellectual property rights. Malicious acquisition generally refers to the </w:t>
      </w:r>
      <w:r w:rsidRPr="005A1DD1">
        <w:rPr>
          <w:sz w:val="28"/>
          <w:szCs w:val="28"/>
        </w:rPr>
        <w:lastRenderedPageBreak/>
        <w:t>circumstance in which the actor subjectively knows or should have known that the intellectual property rights "legitimate" in form is based on an infringement on the legal rights of others. 2. The actor files the lawsuit with subjective malice. Subjective malice refers to the circumstance in which the actor files the intellectual property lawsuit, knowing that the intellectual property lawsuit is baseless in fact and in law, for the purpose of damaging the legal rights and interests of others or intending to obtain illegal profits. 3. The actor maliciously files the intellectual property lawsuit, which causes losses to others and there is a causal relationship between the losses and the actor's act of filing the intellectual property lawsuit maliciously.</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The three lawsuits filed by Yuyuan Brewery Factory complied with the aforesaid constituted factors and therefore</w:t>
      </w:r>
      <w:r>
        <w:rPr>
          <w:rFonts w:hint="eastAsia"/>
          <w:sz w:val="28"/>
          <w:szCs w:val="28"/>
        </w:rPr>
        <w:t>,</w:t>
      </w:r>
      <w:r w:rsidRPr="005A1DD1">
        <w:rPr>
          <w:sz w:val="28"/>
          <w:szCs w:val="28"/>
        </w:rPr>
        <w:t xml:space="preserve"> should be deemed as filing intellectual property lawsuits maliciously.</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Firstly, Yuyuan Brewery Factory filed three lawsuits in the absence of legitimate rights. Yuyuan Brewery Factory marked </w:t>
      </w:r>
      <w:r>
        <w:rPr>
          <w:rFonts w:hint="eastAsia"/>
          <w:sz w:val="28"/>
          <w:szCs w:val="28"/>
        </w:rPr>
        <w:t xml:space="preserve">the </w:t>
      </w:r>
      <w:r w:rsidRPr="005A1DD1">
        <w:rPr>
          <w:sz w:val="28"/>
          <w:szCs w:val="28"/>
        </w:rPr>
        <w:t>characters "</w:t>
      </w:r>
      <w:r w:rsidRPr="005A1DD1">
        <w:rPr>
          <w:sz w:val="28"/>
          <w:szCs w:val="28"/>
        </w:rPr>
        <w:t>洋河</w:t>
      </w:r>
      <w:r w:rsidRPr="005A1DD1">
        <w:rPr>
          <w:sz w:val="28"/>
          <w:szCs w:val="28"/>
        </w:rPr>
        <w:t>" in the involved design patents, which had infringed the exclusive right of the prior registered trademark of Yanghe Brewery. Yuyuan Brewery Factory obtained the granted patents "legitimate" in form due to reasons including that no substantive examination is conducted for the granting of design patents in China, and after the granting of the patents, no party filed a request for invalidation to the Patent Reexamination Board. As a result, the four involved design patents had remained formally "legitimate" for nearly three years, but the aforesaid facts and conditions cannot change the fact that the rights of the four involved design patents are illegitimate. Yuyuan Brewery Factory embedded some design elements of the prior registered trademark legally held by Yanghe Brewery into its design patents, which not only significantly violated the provisions of the Patent Law and disrupted the order of the patent system, but also infringed the legal rights of the trademark holder, disrupted the normal order of trademark registration and management, and damaged the healthy and orderly market environment of fair competition.</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lastRenderedPageBreak/>
        <w:t>Secondly, Yuyuan Brewery Factory clearly knew that the rights it claimed in the three lawsuits involved in this case were illegitimate. 1. In the (2013) S.Z.Z.M.C.Z. No. 0047 Judgment, Suqian Intermediate People's Court had determined that the packages of liquor products produced by Yuyuan Brewery Factory were marked with characters "</w:t>
      </w:r>
      <w:r w:rsidRPr="005A1DD1">
        <w:rPr>
          <w:sz w:val="28"/>
          <w:szCs w:val="28"/>
        </w:rPr>
        <w:t>中国洋河</w:t>
      </w:r>
      <w:r w:rsidRPr="005A1DD1">
        <w:rPr>
          <w:sz w:val="28"/>
          <w:szCs w:val="28"/>
        </w:rPr>
        <w:t>" and "</w:t>
      </w:r>
      <w:r w:rsidRPr="005A1DD1">
        <w:rPr>
          <w:sz w:val="28"/>
          <w:szCs w:val="28"/>
        </w:rPr>
        <w:t>江苏洋河</w:t>
      </w:r>
      <w:r w:rsidRPr="005A1DD1">
        <w:rPr>
          <w:sz w:val="28"/>
          <w:szCs w:val="28"/>
        </w:rPr>
        <w:t xml:space="preserve">", which infringed the exclusive use right of the trademark of Yanghe Brewery. 2. Given that Yuyuan Brewery Factory and Yanghe Brewery are both located in Suqian City of Jiangsu Province, and both operate </w:t>
      </w:r>
      <w:r>
        <w:rPr>
          <w:sz w:val="28"/>
          <w:szCs w:val="28"/>
        </w:rPr>
        <w:t>the</w:t>
      </w:r>
      <w:r w:rsidRPr="005A1DD1">
        <w:rPr>
          <w:sz w:val="28"/>
          <w:szCs w:val="28"/>
        </w:rPr>
        <w:t>business including liquor products, Yuyuan Brewery Factory should have known the exclusive use right of the registered trademark "</w:t>
      </w:r>
      <w:r w:rsidRPr="005A1DD1">
        <w:rPr>
          <w:sz w:val="28"/>
          <w:szCs w:val="28"/>
        </w:rPr>
        <w:t>洋河</w:t>
      </w:r>
      <w:r w:rsidRPr="005A1DD1">
        <w:rPr>
          <w:sz w:val="28"/>
          <w:szCs w:val="28"/>
        </w:rPr>
        <w:t>" of Yanghe Brewery and the market influence and reputation of the trademark "</w:t>
      </w:r>
      <w:r w:rsidRPr="005A1DD1">
        <w:rPr>
          <w:sz w:val="28"/>
          <w:szCs w:val="28"/>
        </w:rPr>
        <w:t>洋河</w:t>
      </w:r>
      <w:r w:rsidRPr="005A1DD1">
        <w:rPr>
          <w:sz w:val="28"/>
          <w:szCs w:val="28"/>
        </w:rPr>
        <w:t>". 3. On January 7, 2014, Li Yinjiu, the legal representative of Yuyuan Brewery Factory, applied for registration of the No. 201430003600.4 design patent named as "Wine Box (Chinese Dream Red)", in which characters "</w:t>
      </w:r>
      <w:r w:rsidRPr="005A1DD1">
        <w:rPr>
          <w:sz w:val="28"/>
          <w:szCs w:val="28"/>
        </w:rPr>
        <w:t>江苏洋河镇</w:t>
      </w:r>
      <w:r w:rsidRPr="005A1DD1">
        <w:rPr>
          <w:sz w:val="28"/>
          <w:szCs w:val="28"/>
        </w:rPr>
        <w:t>" instead of characters "</w:t>
      </w:r>
      <w:r w:rsidRPr="005A1DD1">
        <w:rPr>
          <w:sz w:val="28"/>
          <w:szCs w:val="28"/>
        </w:rPr>
        <w:t>江苏</w:t>
      </w:r>
      <w:r w:rsidRPr="005A1DD1">
        <w:rPr>
          <w:sz w:val="28"/>
          <w:szCs w:val="28"/>
        </w:rPr>
        <w:t>·</w:t>
      </w:r>
      <w:r w:rsidRPr="005A1DD1">
        <w:rPr>
          <w:sz w:val="28"/>
          <w:szCs w:val="28"/>
        </w:rPr>
        <w:t>洋河</w:t>
      </w:r>
      <w:r w:rsidRPr="005A1DD1">
        <w:rPr>
          <w:sz w:val="28"/>
          <w:szCs w:val="28"/>
        </w:rPr>
        <w:t>" had been used. The change from characters "</w:t>
      </w:r>
      <w:r w:rsidRPr="005A1DD1">
        <w:rPr>
          <w:sz w:val="28"/>
          <w:szCs w:val="28"/>
        </w:rPr>
        <w:t>洋河</w:t>
      </w:r>
      <w:r w:rsidRPr="005A1DD1">
        <w:rPr>
          <w:sz w:val="28"/>
          <w:szCs w:val="28"/>
        </w:rPr>
        <w:t>" in the four involved patents to characters "</w:t>
      </w:r>
      <w:r w:rsidRPr="005A1DD1">
        <w:rPr>
          <w:sz w:val="28"/>
          <w:szCs w:val="28"/>
        </w:rPr>
        <w:t>洋河镇</w:t>
      </w:r>
      <w:r w:rsidRPr="005A1DD1">
        <w:rPr>
          <w:sz w:val="28"/>
          <w:szCs w:val="28"/>
        </w:rPr>
        <w:t>" in the aforesaid No. 201430003600.4 design patent further indicated that Yuyuan Brewery Factory was clearly aware that characters "</w:t>
      </w:r>
      <w:r w:rsidRPr="005A1DD1">
        <w:rPr>
          <w:sz w:val="28"/>
          <w:szCs w:val="28"/>
        </w:rPr>
        <w:t>洋河</w:t>
      </w:r>
      <w:r w:rsidRPr="005A1DD1">
        <w:rPr>
          <w:sz w:val="28"/>
          <w:szCs w:val="28"/>
        </w:rPr>
        <w:t>" and "</w:t>
      </w:r>
      <w:r w:rsidRPr="005A1DD1">
        <w:rPr>
          <w:sz w:val="28"/>
          <w:szCs w:val="28"/>
        </w:rPr>
        <w:t>洋河镇</w:t>
      </w:r>
      <w:r w:rsidRPr="005A1DD1">
        <w:rPr>
          <w:sz w:val="28"/>
          <w:szCs w:val="28"/>
        </w:rPr>
        <w:t>" marked on the packages of its products had different designations and meanings.</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Moreover, knowing that its rights are illegitimate, Yuyuan Brewery Factory still filed three lawsuits intending to obtain illegitimate profits. Based on the subjective state that Yuyuan Brewery Factory clearly knew </w:t>
      </w:r>
      <w:r>
        <w:rPr>
          <w:rFonts w:hint="eastAsia"/>
          <w:sz w:val="28"/>
          <w:szCs w:val="28"/>
        </w:rPr>
        <w:t xml:space="preserve">the basis of </w:t>
      </w:r>
      <w:r w:rsidRPr="005A1DD1">
        <w:rPr>
          <w:sz w:val="28"/>
          <w:szCs w:val="28"/>
        </w:rPr>
        <w:t xml:space="preserve">its illegitimate rights in the lawsuit, but still requested for compensation for the infringement of </w:t>
      </w:r>
      <w:r>
        <w:rPr>
          <w:rFonts w:hint="eastAsia"/>
          <w:sz w:val="28"/>
          <w:szCs w:val="28"/>
        </w:rPr>
        <w:t xml:space="preserve">the basis of </w:t>
      </w:r>
      <w:r w:rsidRPr="005A1DD1">
        <w:rPr>
          <w:sz w:val="28"/>
          <w:szCs w:val="28"/>
        </w:rPr>
        <w:t>its illegitimate rights</w:t>
      </w:r>
      <w:r>
        <w:rPr>
          <w:rFonts w:hint="eastAsia"/>
          <w:sz w:val="28"/>
          <w:szCs w:val="28"/>
        </w:rPr>
        <w:t>; t</w:t>
      </w:r>
      <w:r w:rsidRPr="005A1DD1">
        <w:rPr>
          <w:sz w:val="28"/>
          <w:szCs w:val="28"/>
        </w:rPr>
        <w:t>herefore, its lawsuit was filed with the purpose of intending to obtain illegitimate profits maliciously.</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Finally, the malicious intellectual property lawsuits filed by Yuyuan Brewery Factory caused losses to Tianxiaxiu Winery. After Yuyuan Brewery Factory filed the three lawsuits, Tianxiaxiu Winery participated in the lawsuits in a passive manner, hired an attorney, requested an invalidation for the involved </w:t>
      </w:r>
      <w:r w:rsidRPr="005A1DD1">
        <w:rPr>
          <w:sz w:val="28"/>
          <w:szCs w:val="28"/>
        </w:rPr>
        <w:lastRenderedPageBreak/>
        <w:t xml:space="preserve">design patent, and spent RMB 140,225 in total for the corresponding attorney fees, the fee for </w:t>
      </w:r>
      <w:r>
        <w:rPr>
          <w:rFonts w:hint="eastAsia"/>
          <w:sz w:val="28"/>
          <w:szCs w:val="28"/>
        </w:rPr>
        <w:t xml:space="preserve">the </w:t>
      </w:r>
      <w:r w:rsidRPr="005A1DD1">
        <w:rPr>
          <w:sz w:val="28"/>
          <w:szCs w:val="28"/>
        </w:rPr>
        <w:t>request for declaration of invalidation, and travel expenses, which thus were caused by the three involved lawsuits filed by Yuyuan Brewery Factory.</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Accordingly, the court of second instance affirmed the judgment of the first instance.</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[Typical Significance]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This is a typical case of claiming compensation after causing losses to others by filing malicious intellectual property lawsuits. The defendant in this case ha</w:t>
      </w:r>
      <w:r>
        <w:rPr>
          <w:sz w:val="28"/>
          <w:szCs w:val="28"/>
        </w:rPr>
        <w:t>d</w:t>
      </w:r>
      <w:r w:rsidRPr="005A1DD1">
        <w:rPr>
          <w:sz w:val="28"/>
          <w:szCs w:val="28"/>
        </w:rPr>
        <w:t xml:space="preserve"> previously known that the trademark of Jiangsu "</w:t>
      </w:r>
      <w:r w:rsidRPr="005A1DD1">
        <w:rPr>
          <w:sz w:val="28"/>
          <w:szCs w:val="28"/>
        </w:rPr>
        <w:t>洋河</w:t>
      </w:r>
      <w:r w:rsidRPr="005A1DD1">
        <w:rPr>
          <w:sz w:val="28"/>
          <w:szCs w:val="28"/>
        </w:rPr>
        <w:t xml:space="preserve">" liquor products enjoyed </w:t>
      </w:r>
      <w:r>
        <w:rPr>
          <w:rFonts w:hint="eastAsia"/>
          <w:sz w:val="28"/>
          <w:szCs w:val="28"/>
        </w:rPr>
        <w:t xml:space="preserve">a </w:t>
      </w:r>
      <w:r w:rsidRPr="005A1DD1">
        <w:rPr>
          <w:sz w:val="28"/>
          <w:szCs w:val="28"/>
        </w:rPr>
        <w:t>high reputation, and was imposed an administrative penalty due to operating liquor products with counterfeit trademarks of "</w:t>
      </w:r>
      <w:r w:rsidRPr="005A1DD1">
        <w:rPr>
          <w:sz w:val="28"/>
          <w:szCs w:val="28"/>
        </w:rPr>
        <w:t>洋河</w:t>
      </w:r>
      <w:r w:rsidRPr="005A1DD1">
        <w:rPr>
          <w:sz w:val="28"/>
          <w:szCs w:val="28"/>
        </w:rPr>
        <w:t>", and was decided by the court that it infringed on the exclusive use right of the trademark "</w:t>
      </w:r>
      <w:r w:rsidRPr="005A1DD1">
        <w:rPr>
          <w:sz w:val="28"/>
          <w:szCs w:val="28"/>
        </w:rPr>
        <w:t>洋河</w:t>
      </w:r>
      <w:r w:rsidRPr="005A1DD1">
        <w:rPr>
          <w:sz w:val="28"/>
          <w:szCs w:val="28"/>
        </w:rPr>
        <w:t>". But the defendant still took advantage of the system in which no substantive examination is conducted for granting design patents and obtained the design patents with trademark "</w:t>
      </w:r>
      <w:r w:rsidRPr="005A1DD1">
        <w:rPr>
          <w:sz w:val="28"/>
          <w:szCs w:val="28"/>
        </w:rPr>
        <w:t>洋河</w:t>
      </w:r>
      <w:r w:rsidRPr="005A1DD1">
        <w:rPr>
          <w:sz w:val="28"/>
          <w:szCs w:val="28"/>
        </w:rPr>
        <w:t>" as design elements. Later, the defendant sued the plaintiff in this case for patent infringement on the lack of the legitimate and legal basis of design patents, for the purpose of obtaining illegitimate profits. Therefore, this is a typical act of violating the principle of good faith and filing intellectual property lawsuits maliciously.</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This case is typical in that the judgment has clarified the determination criteria for filing intellectual property lawsuits maliciously. 1. The </w:t>
      </w:r>
      <w:r>
        <w:rPr>
          <w:rFonts w:hint="eastAsia"/>
          <w:sz w:val="28"/>
          <w:szCs w:val="28"/>
        </w:rPr>
        <w:t xml:space="preserve">actor </w:t>
      </w:r>
      <w:r w:rsidRPr="005A1DD1">
        <w:rPr>
          <w:sz w:val="28"/>
          <w:szCs w:val="28"/>
        </w:rPr>
        <w:t xml:space="preserve">files the intellectual property lawsuits without factual or legal basis. To be specific, the </w:t>
      </w:r>
      <w:r>
        <w:rPr>
          <w:sz w:val="28"/>
          <w:szCs w:val="28"/>
        </w:rPr>
        <w:t>person</w:t>
      </w:r>
      <w:r w:rsidRPr="005A1DD1">
        <w:rPr>
          <w:sz w:val="28"/>
          <w:szCs w:val="28"/>
        </w:rPr>
        <w:t xml:space="preserve"> does not hold intellectual property rights or even if </w:t>
      </w:r>
      <w:r>
        <w:rPr>
          <w:sz w:val="28"/>
          <w:szCs w:val="28"/>
        </w:rPr>
        <w:t>he or she</w:t>
      </w:r>
      <w:r w:rsidRPr="005A1DD1">
        <w:rPr>
          <w:sz w:val="28"/>
          <w:szCs w:val="28"/>
        </w:rPr>
        <w:t xml:space="preserve"> holds intellectual property rights "legitim</w:t>
      </w:r>
      <w:r>
        <w:rPr>
          <w:sz w:val="28"/>
          <w:szCs w:val="28"/>
        </w:rPr>
        <w:t>ate" in form, such rights lack</w:t>
      </w:r>
      <w:r w:rsidRPr="005A1DD1">
        <w:rPr>
          <w:sz w:val="28"/>
          <w:szCs w:val="28"/>
        </w:rPr>
        <w:t xml:space="preserve"> substantive legitimacy due to various reasons such as </w:t>
      </w:r>
      <w:r>
        <w:rPr>
          <w:rFonts w:hint="eastAsia"/>
          <w:sz w:val="28"/>
          <w:szCs w:val="28"/>
        </w:rPr>
        <w:t xml:space="preserve">the </w:t>
      </w:r>
      <w:r w:rsidRPr="005A1DD1">
        <w:rPr>
          <w:sz w:val="28"/>
          <w:szCs w:val="28"/>
        </w:rPr>
        <w:t xml:space="preserve">malicious acquisition of such intellectual property rights. 2. The </w:t>
      </w:r>
      <w:r>
        <w:rPr>
          <w:sz w:val="28"/>
          <w:szCs w:val="28"/>
        </w:rPr>
        <w:t>person</w:t>
      </w:r>
      <w:r w:rsidRPr="005A1DD1">
        <w:rPr>
          <w:sz w:val="28"/>
          <w:szCs w:val="28"/>
        </w:rPr>
        <w:t xml:space="preserve"> files the lawsuit with subjective malice. To be specif</w:t>
      </w:r>
      <w:r>
        <w:rPr>
          <w:sz w:val="28"/>
          <w:szCs w:val="28"/>
        </w:rPr>
        <w:t>ic, he or she</w:t>
      </w:r>
      <w:r w:rsidRPr="005A1DD1">
        <w:rPr>
          <w:sz w:val="28"/>
          <w:szCs w:val="28"/>
        </w:rPr>
        <w:t xml:space="preserve"> files the intellectual property lawsuit, knowing that the intellectual property rights obtained </w:t>
      </w:r>
      <w:r>
        <w:rPr>
          <w:rFonts w:hint="eastAsia"/>
          <w:sz w:val="28"/>
          <w:szCs w:val="28"/>
        </w:rPr>
        <w:t>are</w:t>
      </w:r>
      <w:r w:rsidRPr="005A1DD1">
        <w:rPr>
          <w:sz w:val="28"/>
          <w:szCs w:val="28"/>
        </w:rPr>
        <w:t xml:space="preserve"> illegitimate and that the intellectual property lawsuit is baseless in fact and in law. 3. The </w:t>
      </w:r>
      <w:r>
        <w:rPr>
          <w:sz w:val="28"/>
          <w:szCs w:val="28"/>
        </w:rPr>
        <w:t>person</w:t>
      </w:r>
      <w:r w:rsidRPr="005A1DD1">
        <w:rPr>
          <w:sz w:val="28"/>
          <w:szCs w:val="28"/>
        </w:rPr>
        <w:t xml:space="preserve"> files the intellectual </w:t>
      </w:r>
      <w:r w:rsidRPr="005A1DD1">
        <w:rPr>
          <w:sz w:val="28"/>
          <w:szCs w:val="28"/>
        </w:rPr>
        <w:lastRenderedPageBreak/>
        <w:t xml:space="preserve">property lawsuits for the purpose of damaging the legal rights and interests of others or intending to obtain illegal profits, including obtaining compensation or maliciously attacking competitors to obtain competitive advantages and market profits. 4. The </w:t>
      </w:r>
      <w:r>
        <w:rPr>
          <w:sz w:val="28"/>
          <w:szCs w:val="28"/>
        </w:rPr>
        <w:t>person</w:t>
      </w:r>
      <w:r w:rsidRPr="005A1DD1">
        <w:rPr>
          <w:sz w:val="28"/>
          <w:szCs w:val="28"/>
        </w:rPr>
        <w:t xml:space="preserve"> maliciously files the intellectual property lawsuits, which causes losses to others and there is a causal relationship between the losses and the </w:t>
      </w:r>
      <w:r>
        <w:rPr>
          <w:sz w:val="28"/>
          <w:szCs w:val="28"/>
        </w:rPr>
        <w:t>person</w:t>
      </w:r>
      <w:r w:rsidRPr="005A1DD1">
        <w:rPr>
          <w:sz w:val="28"/>
          <w:szCs w:val="28"/>
        </w:rPr>
        <w:t>'s act of filing the intellectual property lawsuit maliciously.</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The judgment of this case has severely cracked down on such acts of violating principles of business ethics and good faith to maliciously obtain intellectual property legitimate in form, and then maliciously file lawsuits for profits, which will positively promote the construction of the credibility system and the purification of an innovative environment.</w:t>
      </w:r>
    </w:p>
    <w:p w:rsidR="00824208" w:rsidRPr="005A1DD1" w:rsidRDefault="00824208" w:rsidP="00824208">
      <w:pPr>
        <w:adjustRightInd w:val="0"/>
        <w:snapToGrid w:val="0"/>
        <w:spacing w:line="312" w:lineRule="auto"/>
        <w:rPr>
          <w:rFonts w:eastAsia="黑体"/>
          <w:sz w:val="28"/>
          <w:szCs w:val="28"/>
        </w:rPr>
      </w:pPr>
      <w:r w:rsidRPr="005A1DD1">
        <w:rPr>
          <w:sz w:val="28"/>
          <w:szCs w:val="28"/>
        </w:rPr>
        <w:br w:type="page"/>
      </w:r>
      <w:r w:rsidRPr="005A1DD1">
        <w:rPr>
          <w:sz w:val="28"/>
          <w:szCs w:val="28"/>
        </w:rPr>
        <w:lastRenderedPageBreak/>
        <w:t xml:space="preserve">9. </w:t>
      </w:r>
      <w:r w:rsidRPr="00410033">
        <w:rPr>
          <w:sz w:val="28"/>
          <w:szCs w:val="28"/>
        </w:rPr>
        <w:t>A case involving the crime of counterfeiting registered trademark jointly committed by the design director and the distributor of an enterprise</w:t>
      </w:r>
    </w:p>
    <w:p w:rsidR="00824208" w:rsidRPr="005A1DD1" w:rsidRDefault="00824208" w:rsidP="00824208">
      <w:pPr>
        <w:adjustRightInd w:val="0"/>
        <w:snapToGrid w:val="0"/>
        <w:spacing w:line="312" w:lineRule="auto"/>
        <w:rPr>
          <w:rFonts w:eastAsia="仿宋_GB2312"/>
          <w:sz w:val="28"/>
          <w:szCs w:val="28"/>
        </w:rPr>
      </w:pPr>
      <w:r w:rsidRPr="005A1DD1">
        <w:rPr>
          <w:sz w:val="28"/>
          <w:szCs w:val="28"/>
        </w:rPr>
        <w:t>—</w:t>
      </w:r>
      <w:r w:rsidRPr="00410033">
        <w:rPr>
          <w:sz w:val="28"/>
          <w:szCs w:val="28"/>
        </w:rPr>
        <w:t>Case where the Defendants Lin, Shen Xkang, and Yu Committed the Crime of Counterfeiting Registered Trademark, and the Defendant Shen Xjuan Committed the Crime of Counterfeiting Registered Trademark and Duty Encroachment</w:t>
      </w:r>
    </w:p>
    <w:p w:rsidR="00824208" w:rsidRPr="005A1DD1" w:rsidRDefault="00824208" w:rsidP="00824208">
      <w:pPr>
        <w:adjustRightInd w:val="0"/>
        <w:snapToGrid w:val="0"/>
        <w:spacing w:line="312" w:lineRule="auto"/>
        <w:rPr>
          <w:rFonts w:eastAsia="仿宋_GB2312"/>
          <w:sz w:val="28"/>
          <w:szCs w:val="28"/>
        </w:rPr>
      </w:pP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[Case Information]</w:t>
      </w:r>
    </w:p>
    <w:p w:rsidR="00824208" w:rsidRPr="005A1DD1" w:rsidRDefault="00824208" w:rsidP="00824208">
      <w:pPr>
        <w:adjustRightInd w:val="0"/>
        <w:snapToGrid w:val="0"/>
        <w:spacing w:line="312" w:lineRule="auto"/>
        <w:ind w:leftChars="267" w:left="2241" w:hangingChars="600" w:hanging="1680"/>
        <w:rPr>
          <w:rFonts w:eastAsia="仿宋_GB2312"/>
          <w:sz w:val="28"/>
          <w:szCs w:val="28"/>
        </w:rPr>
      </w:pPr>
      <w:r w:rsidRPr="005A1DD1">
        <w:rPr>
          <w:sz w:val="28"/>
          <w:szCs w:val="28"/>
        </w:rPr>
        <w:t>Case No.:</w:t>
      </w:r>
      <w:r>
        <w:rPr>
          <w:sz w:val="28"/>
          <w:szCs w:val="28"/>
        </w:rPr>
        <w:tab/>
      </w:r>
      <w:r w:rsidRPr="005A1DD1">
        <w:rPr>
          <w:sz w:val="28"/>
          <w:szCs w:val="28"/>
        </w:rPr>
        <w:t xml:space="preserve">Changshu </w:t>
      </w:r>
      <w:r w:rsidRPr="00922B89">
        <w:rPr>
          <w:rFonts w:eastAsia="仿宋_GB2312"/>
          <w:sz w:val="28"/>
          <w:szCs w:val="28"/>
        </w:rPr>
        <w:t>People's</w:t>
      </w:r>
      <w:r w:rsidRPr="005A1DD1">
        <w:rPr>
          <w:sz w:val="28"/>
          <w:szCs w:val="28"/>
        </w:rPr>
        <w:t xml:space="preserve"> Court (2019) S. 0581 X.C. No. 89</w:t>
      </w:r>
    </w:p>
    <w:p w:rsidR="00824208" w:rsidRPr="005A1DD1" w:rsidRDefault="00824208" w:rsidP="00824208">
      <w:pPr>
        <w:adjustRightInd w:val="0"/>
        <w:snapToGrid w:val="0"/>
        <w:spacing w:line="312" w:lineRule="auto"/>
        <w:ind w:left="2241"/>
        <w:rPr>
          <w:rFonts w:eastAsia="仿宋_GB2312"/>
          <w:sz w:val="28"/>
          <w:szCs w:val="28"/>
        </w:rPr>
      </w:pPr>
      <w:r w:rsidRPr="005A1DD1">
        <w:rPr>
          <w:sz w:val="28"/>
          <w:szCs w:val="28"/>
        </w:rPr>
        <w:t>Suzhou Intermediate People's Court (2019) S. 05 X.Z. No. 559</w:t>
      </w:r>
    </w:p>
    <w:p w:rsidR="00824208" w:rsidRPr="005A1DD1" w:rsidRDefault="00824208" w:rsidP="00824208">
      <w:pPr>
        <w:adjustRightInd w:val="0"/>
        <w:snapToGrid w:val="0"/>
        <w:spacing w:line="312" w:lineRule="auto"/>
        <w:ind w:leftChars="267" w:left="3921" w:hangingChars="1200" w:hanging="3360"/>
        <w:rPr>
          <w:rFonts w:eastAsia="仿宋_GB2312"/>
          <w:sz w:val="28"/>
          <w:szCs w:val="28"/>
        </w:rPr>
      </w:pPr>
      <w:r w:rsidRPr="005A1DD1">
        <w:rPr>
          <w:sz w:val="28"/>
          <w:szCs w:val="28"/>
        </w:rPr>
        <w:t xml:space="preserve">Public Prosecution Organ: </w:t>
      </w:r>
      <w:r>
        <w:rPr>
          <w:sz w:val="28"/>
          <w:szCs w:val="28"/>
        </w:rPr>
        <w:tab/>
      </w:r>
      <w:r w:rsidRPr="005A1DD1">
        <w:rPr>
          <w:sz w:val="28"/>
          <w:szCs w:val="28"/>
        </w:rPr>
        <w:t>Changshu People's Procuratorate of Jiangsu Province</w:t>
      </w:r>
    </w:p>
    <w:p w:rsidR="00824208" w:rsidRPr="005A1DD1" w:rsidRDefault="00824208" w:rsidP="00824208">
      <w:pPr>
        <w:adjustRightInd w:val="0"/>
        <w:snapToGrid w:val="0"/>
        <w:spacing w:line="312" w:lineRule="auto"/>
        <w:ind w:leftChars="267" w:left="2241" w:hangingChars="600" w:hanging="1680"/>
        <w:rPr>
          <w:rFonts w:eastAsia="仿宋_GB2312"/>
          <w:sz w:val="28"/>
          <w:szCs w:val="28"/>
        </w:rPr>
      </w:pPr>
      <w:r w:rsidRPr="005A1DD1">
        <w:rPr>
          <w:sz w:val="28"/>
          <w:szCs w:val="28"/>
        </w:rPr>
        <w:t xml:space="preserve">Defendants: </w:t>
      </w:r>
      <w:r>
        <w:rPr>
          <w:sz w:val="28"/>
          <w:szCs w:val="28"/>
        </w:rPr>
        <w:tab/>
      </w:r>
      <w:r w:rsidRPr="005A1DD1">
        <w:rPr>
          <w:sz w:val="28"/>
          <w:szCs w:val="28"/>
        </w:rPr>
        <w:t>Shen Xjuan, Lin, Shen Xkang, and Yu</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[Adjudication Gist]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An enterprise employee conspires with a distributor during its employment, acts in coordination with the distributor, and jointly commits the crime on counterfeiting commodities using the registered trademark of the obligee, and makes profit</w:t>
      </w:r>
      <w:r>
        <w:rPr>
          <w:rFonts w:hint="eastAsia"/>
          <w:sz w:val="28"/>
          <w:szCs w:val="28"/>
        </w:rPr>
        <w:t>s</w:t>
      </w:r>
      <w:r w:rsidRPr="005A1DD1">
        <w:rPr>
          <w:sz w:val="28"/>
          <w:szCs w:val="28"/>
        </w:rPr>
        <w:t xml:space="preserve"> from selling the counterfeit products blended with original products, which constitutes the crime of counterfeiting registered trademark. The nature of the crime is severe</w:t>
      </w:r>
      <w:r>
        <w:rPr>
          <w:rFonts w:hint="eastAsia"/>
          <w:sz w:val="28"/>
          <w:szCs w:val="28"/>
        </w:rPr>
        <w:t xml:space="preserve"> and</w:t>
      </w:r>
      <w:r>
        <w:rPr>
          <w:sz w:val="28"/>
          <w:szCs w:val="28"/>
        </w:rPr>
        <w:t xml:space="preserve"> the circumstances are particularly serious</w:t>
      </w:r>
      <w:r>
        <w:rPr>
          <w:rFonts w:hint="eastAsia"/>
          <w:sz w:val="28"/>
          <w:szCs w:val="28"/>
        </w:rPr>
        <w:t>;</w:t>
      </w:r>
      <w:r w:rsidRPr="005A1DD1">
        <w:rPr>
          <w:sz w:val="28"/>
          <w:szCs w:val="28"/>
        </w:rPr>
        <w:t>thus the offenders shall be punished strictly.</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[Case Description]</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The defendant Shen Xjuan was the former design director of the down coat product center of Bosideng International Apparel (China) Co., Ltd. (hereinafter referred to as "Bosideng"), who was in charge of product design and R&amp;D and had access to confidential information such as the latest styles and fabrics </w:t>
      </w:r>
      <w:r>
        <w:rPr>
          <w:sz w:val="28"/>
          <w:szCs w:val="28"/>
        </w:rPr>
        <w:t>and</w:t>
      </w:r>
      <w:r w:rsidRPr="005A1DD1">
        <w:rPr>
          <w:sz w:val="28"/>
          <w:szCs w:val="28"/>
        </w:rPr>
        <w:t xml:space="preserve"> accessories parameters of "Bosideng" down coats. The defendant Lin was a former distributor for the "Bosideng" down coats in Dandong City, Liaoning Province, and had established relevant sales channels. In the second half of 2017, </w:t>
      </w:r>
      <w:r w:rsidRPr="005A1DD1">
        <w:rPr>
          <w:sz w:val="28"/>
          <w:szCs w:val="28"/>
        </w:rPr>
        <w:lastRenderedPageBreak/>
        <w:t>the defendants Lin and Shen Xjuan premeditated to make profit</w:t>
      </w:r>
      <w:r>
        <w:rPr>
          <w:rFonts w:hint="eastAsia"/>
          <w:sz w:val="28"/>
          <w:szCs w:val="28"/>
        </w:rPr>
        <w:t>s</w:t>
      </w:r>
      <w:r w:rsidRPr="005A1DD1">
        <w:rPr>
          <w:sz w:val="28"/>
          <w:szCs w:val="28"/>
        </w:rPr>
        <w:t xml:space="preserve"> by counterfeiting the down coat products of the registered trademark "Bosideng", with the specific means of profit-making as described below: The defendant Shen Xjuan acquired the sample garment and parameters of "Bosideng" down coats, and then entrusted the defendant Shen Xkang to be specifically responsible for counterfeiting, and the defendant Lin was responsible for funding and selling the counterfeit down coats blended with the original products. After that, the defendant Shen Xkang supplied fabrics and accessory materials and entrusted Ren and Li (both have been subjected to another legal case) and the defendant Yu to counterfeit six styles of down coats with the registered trademark "Bosideng", where each style was made 500 pcs and there were 3,000 pcs of counterfeits in total for the six styles w</w:t>
      </w:r>
      <w:r>
        <w:rPr>
          <w:sz w:val="28"/>
          <w:szCs w:val="28"/>
        </w:rPr>
        <w:t xml:space="preserve">ith </w:t>
      </w:r>
      <w:r w:rsidRPr="005A1DD1">
        <w:rPr>
          <w:sz w:val="28"/>
          <w:szCs w:val="28"/>
        </w:rPr>
        <w:t>the amount of illegal turnover</w:t>
      </w:r>
      <w:r>
        <w:rPr>
          <w:sz w:val="28"/>
          <w:szCs w:val="28"/>
        </w:rPr>
        <w:t xml:space="preserve"> of RMB 1,115,000</w:t>
      </w:r>
      <w:r w:rsidRPr="005A1DD1">
        <w:rPr>
          <w:sz w:val="28"/>
          <w:szCs w:val="28"/>
        </w:rPr>
        <w:t xml:space="preserve"> in total. Among them, the defendant Yu counterfeited three of the six styles of the down coats with the registered trademark "Bosideng" in its down coat workshop located at Huangqiao Town, Taixing City, Jiangsu Province, where each style was made 500 pcs and there were 1,500 pcs of counterfeits in total for the three models with an illegal</w:t>
      </w:r>
      <w:r>
        <w:rPr>
          <w:sz w:val="28"/>
          <w:szCs w:val="28"/>
        </w:rPr>
        <w:t xml:space="preserve"> product value of RMB 585,000</w:t>
      </w:r>
      <w:r w:rsidRPr="005A1DD1">
        <w:rPr>
          <w:sz w:val="28"/>
          <w:szCs w:val="28"/>
        </w:rPr>
        <w:t xml:space="preserve"> and a counterfeits fabrication fee charged at R</w:t>
      </w:r>
      <w:r>
        <w:rPr>
          <w:sz w:val="28"/>
          <w:szCs w:val="28"/>
        </w:rPr>
        <w:t>MB 160,000</w:t>
      </w:r>
      <w:r w:rsidRPr="005A1DD1">
        <w:rPr>
          <w:sz w:val="28"/>
          <w:szCs w:val="28"/>
        </w:rPr>
        <w: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After the completion of counterfeit fabrication, the defendant Shen Xkang distributed 2,240 pcs of the counterfeit down coats with the registered trademark "Bosideng" to the business place of the defendant Lin via logistic service, which were meant to be sold by the defendant Lin. 260 pcs of the counterfeits were separately dealt with by the defendant Yu, another 494 pcs of the counterfeits were concealed by the defendant Shen Xkang, and the remaining counterfeits were dealt with by the defendant Shen Xkang. The involved down coats are identical with the original patented "Bosideng" down coats in terms of fabrics and styles, and are identified with the trademark "Bosideng". Upon authentication, all of the foregoing down coats are counterfeit commodities with the registered trademark.</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lastRenderedPageBreak/>
        <w:t>The defendant Shen Xjuan, during her employment in Bosideng, also took advantage of the convenience from her management over subordinate departments in terms of sample garment production, processing, and storage, and directed her subordinates to send 135 pcs of "Bosideng" down coats from the Down Coat Product Center's Technology Department to the defendant Lin via express delivery for profit-making, and the value of the</w:t>
      </w:r>
      <w:r>
        <w:rPr>
          <w:sz w:val="28"/>
          <w:szCs w:val="28"/>
        </w:rPr>
        <w:t>se down coats was RMB 202,365</w:t>
      </w:r>
      <w:r w:rsidRPr="005A1DD1">
        <w:rPr>
          <w:sz w:val="28"/>
          <w:szCs w:val="28"/>
        </w:rPr>
        <w:t xml:space="preserve"> in total.</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[Decision of the Court]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Changshu People's Court </w:t>
      </w:r>
      <w:r>
        <w:rPr>
          <w:rFonts w:hint="eastAsia"/>
          <w:sz w:val="28"/>
          <w:szCs w:val="28"/>
        </w:rPr>
        <w:t>found</w:t>
      </w:r>
      <w:r w:rsidRPr="005A1DD1">
        <w:rPr>
          <w:sz w:val="28"/>
          <w:szCs w:val="28"/>
        </w:rPr>
        <w:t xml:space="preserve"> in first instance that: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The defendants Lin, Shen Xjuan, Shen Xkang, and Yu used the registered trademark on the commodities identical to the registered trademark owner's commodities without the registered trademark owner's permit, and obtain the amount of illegal turnover</w:t>
      </w:r>
      <w:r>
        <w:rPr>
          <w:sz w:val="28"/>
          <w:szCs w:val="28"/>
        </w:rPr>
        <w:t xml:space="preserve"> of RMB 1,115,000</w:t>
      </w:r>
      <w:r w:rsidRPr="005A1DD1">
        <w:rPr>
          <w:sz w:val="28"/>
          <w:szCs w:val="28"/>
        </w:rPr>
        <w:t xml:space="preserve"> in total. The circumstances were particularly serious and their acts constituted the crime of counterfeiting </w:t>
      </w:r>
      <w:r>
        <w:rPr>
          <w:sz w:val="28"/>
          <w:szCs w:val="28"/>
        </w:rPr>
        <w:t>registered trademark</w:t>
      </w:r>
      <w:r>
        <w:rPr>
          <w:rFonts w:hint="eastAsia"/>
          <w:sz w:val="28"/>
          <w:szCs w:val="28"/>
        </w:rPr>
        <w:t>;</w:t>
      </w:r>
      <w:r w:rsidRPr="005A1DD1">
        <w:rPr>
          <w:sz w:val="28"/>
          <w:szCs w:val="28"/>
        </w:rPr>
        <w:t>thus the defendants shall be punished by law. The defendant Shen Xjuan took advantage of its duty and illegally appropriat</w:t>
      </w:r>
      <w:r>
        <w:rPr>
          <w:sz w:val="28"/>
          <w:szCs w:val="28"/>
        </w:rPr>
        <w:t xml:space="preserve">ed her employer's property of </w:t>
      </w:r>
      <w:r w:rsidRPr="005A1DD1">
        <w:rPr>
          <w:sz w:val="28"/>
          <w:szCs w:val="28"/>
        </w:rPr>
        <w:t>considerable value, the act constituted the crime of duty encroachment and therefore</w:t>
      </w:r>
      <w:r>
        <w:rPr>
          <w:rFonts w:hint="eastAsia"/>
          <w:sz w:val="28"/>
          <w:szCs w:val="28"/>
        </w:rPr>
        <w:t>,</w:t>
      </w:r>
      <w:r w:rsidRPr="005A1DD1">
        <w:rPr>
          <w:sz w:val="28"/>
          <w:szCs w:val="28"/>
        </w:rPr>
        <w:t xml:space="preserve"> shall be punished by law. The defendant Shen Xjuan committed several crimes before the sentence of this case was pronounced, and shall be punished accordingly by law. In the joint crime of counterfeiting registered trademark, the defendants Lin, Shen Xjuan, and Shen Xkang play major roles, and shall be punished as principal criminals in accordance with the criminal facts that they are involved respectively; The defendant Yu plays a secondary role, and shall be given a reduced sentence as an accessory criminal. The defendant Shen Xkang surrendered to the police actively and confessed the crime truthfully, and therefore can be given a mitigated punishment due to his voluntary surrender. The defendants Shen Xjuan and Yu confessed the crime truthfully, and can be given a mitigated punishment due to their confession to justice. The criminal facts of the crime of counterfeiting registered trademarkby the defendants Lin, Shen Xjuan, Shen </w:t>
      </w:r>
      <w:r w:rsidRPr="005A1DD1">
        <w:rPr>
          <w:sz w:val="28"/>
          <w:szCs w:val="28"/>
        </w:rPr>
        <w:lastRenderedPageBreak/>
        <w:t>Xkang, and Yu as alleged by the public prosecution organ are clear, the evidence is definitive and sufficient, and the alleged crime is true, the proposed circumstances of sentencing are established, which are hereby adopted by the court. With regard to the defender's defense opinion for the defendant Shen Xjuan that the defendant Shen Xjuan was a first time offender who truthfully confessed her crime before the court, took the initiatives to compensate the victim for all economic losses and obtained understanding from the victim, proactively paid the fine and returned and compensated for the property of her duty encroachment, and showed repentance, and with regard to the defender's defense opinion for the defendant Shen Xkang that the defendant Shen Xkang was a first time offender who voluntarily surrendered himself, actively paid part of the fine, and showed repentance, and with regard to the defender's defense opinion for the defendant Yu that the defendant Yu was a first time offender who truthfully confessed his crime before the case, paid part of the fine and showed repentance, these circumstances are verified true and hereby adopted by the court.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In view of the above, the court of first instance ruled that: 1. The Defendant Lin shall be sentenced to four years and six months in prison for the crime of counterfeiting registered trademark and be fined RMB 300,000 as </w:t>
      </w:r>
      <w:r>
        <w:rPr>
          <w:rFonts w:hint="eastAsia"/>
          <w:sz w:val="28"/>
          <w:szCs w:val="28"/>
        </w:rPr>
        <w:t xml:space="preserve">a </w:t>
      </w:r>
      <w:r w:rsidRPr="005A1DD1">
        <w:rPr>
          <w:sz w:val="28"/>
          <w:szCs w:val="28"/>
        </w:rPr>
        <w:t xml:space="preserve">penalty. (Term of imprisonment commences from the date of enforcement of the ruling. The days of imprisonment shall be subtracted by the days of detention prior to the enforcement of the ruling, i.e., from March 20, 2018 to September 19, 2022. The fine shall be paid immediately after the ruling takes effect.) 2. The Defendant Shen Xjuan shall be sentenced to three years and three months in prison for the crime of counterfeiting registered trademark and be fined RMB 300,000 as </w:t>
      </w:r>
      <w:r>
        <w:rPr>
          <w:rFonts w:hint="eastAsia"/>
          <w:sz w:val="28"/>
          <w:szCs w:val="28"/>
        </w:rPr>
        <w:t xml:space="preserve">a </w:t>
      </w:r>
      <w:r w:rsidRPr="005A1DD1">
        <w:rPr>
          <w:sz w:val="28"/>
          <w:szCs w:val="28"/>
        </w:rPr>
        <w:t xml:space="preserve">penalty; and shall be sentenced to nine months in prison for the crime of duty encroachment. Upon combined sentence for the crimes, the court decided to sentence her to three years and nine months in prison, and impose a fine of RMB 300,000. (Term of imprisonment commences from the date of enforcement of the ruling. The days of imprisonment shall be subtracted by the </w:t>
      </w:r>
      <w:r w:rsidRPr="005A1DD1">
        <w:rPr>
          <w:sz w:val="28"/>
          <w:szCs w:val="28"/>
        </w:rPr>
        <w:lastRenderedPageBreak/>
        <w:t xml:space="preserve">days of detention prior to the enforcement of the ruling, i.e., from March 20, 2018 to December 19, 2021. The fine has been paid.) 3. The Defendant Shen Xkang shall be sentenced to three years and four months in prison for the crime of counterfeiting registered trademark and be fined RMB 300,000 as </w:t>
      </w:r>
      <w:r>
        <w:rPr>
          <w:rFonts w:hint="eastAsia"/>
          <w:sz w:val="28"/>
          <w:szCs w:val="28"/>
        </w:rPr>
        <w:t xml:space="preserve">a </w:t>
      </w:r>
      <w:r w:rsidRPr="005A1DD1">
        <w:rPr>
          <w:sz w:val="28"/>
          <w:szCs w:val="28"/>
        </w:rPr>
        <w:t xml:space="preserve">penalty. (Term of imprisonment commences from the date of enforcement of the ruling. The days of imprisonment shall be subtracted by the days of detention prior to the enforcement of the ruling, i.e., from March 26, 2018 to July 25, 2021. Part of the fine, i.e., RMB 100,000, has been paid, and the remaining, i.e., RMB 200,000, shall be paid immediately after the ruling takes effect.) 4. The Defendant Yu shall be sentenced to two years and six months in prison for the crime of counterfeiting registered trademark and be fined RMB 300,000 as </w:t>
      </w:r>
      <w:r>
        <w:rPr>
          <w:rFonts w:hint="eastAsia"/>
          <w:sz w:val="28"/>
          <w:szCs w:val="28"/>
        </w:rPr>
        <w:t xml:space="preserve">a </w:t>
      </w:r>
      <w:r w:rsidRPr="005A1DD1">
        <w:rPr>
          <w:sz w:val="28"/>
          <w:szCs w:val="28"/>
        </w:rPr>
        <w:t xml:space="preserve">penalty. (Term of imprisonment commences from the date of enforcement of the ruling. The days of imprisonment shall be subtracted by the days of detention prior to the enforcement of the ruling, i.e., from April 10, 2018 to October 9, 2020. Part of the fine, i.e., RMB 50,000, has been paid, and the remaining, i.e., RMB 250,000, shall be paid immediately after the ruling takes effect.) 5. A total of 1,607 counterfeited Bosideng down coats (excluding four put on record as exhibits) temporarily seized by the Changshu Public Security Bureau shall be confiscated and handled in accordance with </w:t>
      </w:r>
      <w:r>
        <w:rPr>
          <w:rFonts w:hint="eastAsia"/>
          <w:sz w:val="28"/>
          <w:szCs w:val="28"/>
        </w:rPr>
        <w:t xml:space="preserve">the </w:t>
      </w:r>
      <w:r w:rsidRPr="005A1DD1">
        <w:rPr>
          <w:sz w:val="28"/>
          <w:szCs w:val="28"/>
        </w:rPr>
        <w:t>law.</w:t>
      </w:r>
    </w:p>
    <w:p w:rsidR="00824208" w:rsidRPr="005A1DD1" w:rsidRDefault="00824208" w:rsidP="00824208">
      <w:pPr>
        <w:adjustRightInd w:val="0"/>
        <w:snapToGrid w:val="0"/>
        <w:spacing w:line="312" w:lineRule="auto"/>
        <w:ind w:firstLineChars="200" w:firstLine="560"/>
        <w:rPr>
          <w:rFonts w:eastAsia="仿宋_GB2312"/>
          <w:sz w:val="28"/>
          <w:szCs w:val="28"/>
        </w:rPr>
      </w:pPr>
      <w:r>
        <w:rPr>
          <w:sz w:val="28"/>
          <w:szCs w:val="28"/>
        </w:rPr>
        <w:t>The S</w:t>
      </w:r>
      <w:r w:rsidRPr="005A1DD1">
        <w:rPr>
          <w:sz w:val="28"/>
          <w:szCs w:val="28"/>
        </w:rPr>
        <w:t>uzhou Intermediate People's Court, as the court of second instance, found that: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The Defendants Lin, Shen Xjuan, and Shen Xkang played leading roles as principal criminals in the case of counterfeiting registered trademark, so they shall be punished based on all the crimes that they committed. The Defendant Yu played a subordinate role as an accessory criminal and shall be given a reduced sentence. The defendant Shen Xkang surrendered to the police actively and confessed the crime truthfully, and therefore can be given a mitigated punishment due to his voluntary surrender. The defendants Shen Xjuan and Yu confessed the crime truthfully, and can be given a mitigated punishment due to their confession to justice. The facts related to the crimes found in the judgment </w:t>
      </w:r>
      <w:r w:rsidRPr="005A1DD1">
        <w:rPr>
          <w:sz w:val="28"/>
          <w:szCs w:val="28"/>
        </w:rPr>
        <w:lastRenderedPageBreak/>
        <w:t xml:space="preserve">of first instance are clear and the evidence is conclusive and sufficient, but imposing the same fine of RMB 300,000 on the Defendant Yu as on the principal criminals in this case goes against </w:t>
      </w:r>
      <w:r w:rsidRPr="00D652BE">
        <w:rPr>
          <w:sz w:val="28"/>
          <w:szCs w:val="28"/>
        </w:rPr>
        <w:t>the principle of proportionality of crime and liability</w:t>
      </w:r>
      <w:r w:rsidRPr="005A1DD1">
        <w:rPr>
          <w:sz w:val="28"/>
          <w:szCs w:val="28"/>
        </w:rPr>
        <w:t>. Therefore, the penalty of fine shall be corrected.</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The court of second instance ruled that: 1. The first, second, third and fifth items specified in the judgment of first instance shall be affirmed. 2. The fourth item specified in the judgment of first instance shall be disaffirmed. 3. The Defendant Yu shall be sentenced to two years and six months in prison for the crime of counterfeiting registered trademark and be fined RMB 200,000 as </w:t>
      </w:r>
      <w:r>
        <w:rPr>
          <w:rFonts w:hint="eastAsia"/>
          <w:sz w:val="28"/>
          <w:szCs w:val="28"/>
        </w:rPr>
        <w:t xml:space="preserve">a </w:t>
      </w:r>
      <w:r w:rsidRPr="005A1DD1">
        <w:rPr>
          <w:sz w:val="28"/>
          <w:szCs w:val="28"/>
        </w:rPr>
        <w:t>penalty.</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[Typical Significance]</w:t>
      </w:r>
    </w:p>
    <w:p w:rsidR="00824208" w:rsidRPr="005A1DD1" w:rsidRDefault="00824208" w:rsidP="00824208">
      <w:pPr>
        <w:adjustRightInd w:val="0"/>
        <w:snapToGrid w:val="0"/>
        <w:spacing w:line="312" w:lineRule="auto"/>
        <w:ind w:leftChars="50" w:left="105" w:firstLineChars="150" w:firstLine="420"/>
        <w:rPr>
          <w:rFonts w:eastAsia="仿宋_GB2312"/>
          <w:sz w:val="28"/>
          <w:szCs w:val="28"/>
        </w:rPr>
      </w:pPr>
      <w:r w:rsidRPr="005A1DD1">
        <w:rPr>
          <w:sz w:val="28"/>
          <w:szCs w:val="28"/>
        </w:rPr>
        <w:t>This is a typical case involving a crime of counterfeiting registered trademark. What is special here is that a senior employee of an enterprise colludes with a distributor in manufacturing products bearing a counterfeited registered trademark and mixing them with genuine ones for sale. Bosideng, the brand owner involved in this case, is a well-known down coat brand in China and even in the world. As the design director of the Down Coat Product Center of Bosideng, the Defendant Shen Xjuan knew the company's confidential information such as the latest styles and fabrics and accessories parameters of Bosideng down coats. The Defendant Lin was a distributor of Bosideng down coats in D</w:t>
      </w:r>
      <w:r>
        <w:rPr>
          <w:rFonts w:hint="eastAsia"/>
          <w:sz w:val="28"/>
          <w:szCs w:val="28"/>
        </w:rPr>
        <w:t>a</w:t>
      </w:r>
      <w:r w:rsidRPr="005A1DD1">
        <w:rPr>
          <w:sz w:val="28"/>
          <w:szCs w:val="28"/>
        </w:rPr>
        <w:t xml:space="preserve">ndong, Liaoning. The two defendants held the production and sales channels of the genuine Bosideng down coats respectively, but sought huge illegal gains by means of manufacturing down coats bearing a counterfeited Bosideng trademark and mixing them with genuine ones for sale. This is an odious and serious crime with great social harmfulness. </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This case has the following typical significance: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1. The infringement upon a world-renowned brand by means of collusion between an employee and a distributor is clamped down on by sentencing. An employee who knows specific information can infringe upon the IP of his employer in a very hidden and convenient way, and a distributor who holds the </w:t>
      </w:r>
      <w:r w:rsidRPr="005A1DD1">
        <w:rPr>
          <w:sz w:val="28"/>
          <w:szCs w:val="28"/>
        </w:rPr>
        <w:lastRenderedPageBreak/>
        <w:t>sales channel of the enterprise directly can contact the enterprise's previous customers. Their collusion in counterfeiting is inclined to lull consumers into thinking the counterfeits are genuine ones, which will seriously undermine the goodwill and economic benefits of the enterprise, the interests of consumers, and the market rule and order. Strict punishment on the defendants in this case has effectively curbed employees' illegal and criminal acts that violate business ethics and infringe upon IPs of the enterprise, safeguarded a fair and orderly competition order, and reflected a clear-cut stance and firm resolution for IP protection.</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2. </w:t>
      </w:r>
      <w:r>
        <w:rPr>
          <w:rFonts w:hint="eastAsia"/>
          <w:sz w:val="28"/>
          <w:szCs w:val="28"/>
        </w:rPr>
        <w:t>The p</w:t>
      </w:r>
      <w:r w:rsidRPr="005A1DD1">
        <w:rPr>
          <w:sz w:val="28"/>
          <w:szCs w:val="28"/>
        </w:rPr>
        <w:t>rotection of private enterprises' IPs and national brands is conducive to creating a favorable business environment. Bosideng, the infringed in this case, is a famous private enterprise located in Changshu, Jiangsu, and the largest down coat producer in China. The company's namesake brand is a well-known trademark in China and a renowned brand in the world. The defendants committed the crime of counterfeiting registered trademark, with extraordinarily serious circumstances. Stronger judicial protection of IPs and harsher punishment on violatio</w:t>
      </w:r>
      <w:r>
        <w:rPr>
          <w:sz w:val="28"/>
          <w:szCs w:val="28"/>
        </w:rPr>
        <w:t xml:space="preserve">ns of private enterprises' IPs </w:t>
      </w:r>
      <w:r>
        <w:rPr>
          <w:rFonts w:hint="eastAsia"/>
          <w:sz w:val="28"/>
          <w:szCs w:val="28"/>
        </w:rPr>
        <w:t>are</w:t>
      </w:r>
      <w:r w:rsidRPr="005A1DD1">
        <w:rPr>
          <w:sz w:val="28"/>
          <w:szCs w:val="28"/>
        </w:rPr>
        <w:t xml:space="preserve"> conducive to protecting private enterprises' legitimate rights and interests, enhancing their confidence in fostering national brands, and creating a favorable business environment.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3. The amount of a fine is determined in strict accordance with the principle of proportionality of crime and liability. The judgment of first instance identified three principal criminals and one accessory criminal in this case, but did not differentiate the amount of the fine. The court of second instance adjusted the amount of the fine imposed on the accessory criminal Yu in accordance with the law based on each defendant's criminal status, circumstances of sentencing, subjective viciousness, social harmfulness, attitude of confession or remorse, etc., which reflected the principle of proportionality of crime and liability.</w:t>
      </w:r>
    </w:p>
    <w:p w:rsidR="00824208" w:rsidRPr="005A1DD1" w:rsidRDefault="00824208" w:rsidP="00824208">
      <w:pPr>
        <w:adjustRightInd w:val="0"/>
        <w:snapToGrid w:val="0"/>
        <w:spacing w:line="312" w:lineRule="auto"/>
        <w:ind w:firstLineChars="200" w:firstLine="560"/>
        <w:rPr>
          <w:rFonts w:eastAsia="仿宋_GB2312"/>
          <w:sz w:val="28"/>
          <w:szCs w:val="28"/>
        </w:rPr>
      </w:pPr>
    </w:p>
    <w:p w:rsidR="00824208" w:rsidRPr="005A1DD1" w:rsidRDefault="00824208" w:rsidP="00824208">
      <w:pPr>
        <w:adjustRightInd w:val="0"/>
        <w:snapToGrid w:val="0"/>
        <w:spacing w:line="312" w:lineRule="auto"/>
        <w:rPr>
          <w:rFonts w:eastAsia="黑体"/>
          <w:sz w:val="28"/>
          <w:szCs w:val="28"/>
        </w:rPr>
      </w:pPr>
      <w:r w:rsidRPr="005A1DD1">
        <w:rPr>
          <w:sz w:val="28"/>
          <w:szCs w:val="28"/>
        </w:rPr>
        <w:br w:type="page"/>
      </w:r>
      <w:r w:rsidRPr="005A1DD1">
        <w:rPr>
          <w:sz w:val="28"/>
          <w:szCs w:val="28"/>
        </w:rPr>
        <w:lastRenderedPageBreak/>
        <w:t xml:space="preserve">10. </w:t>
      </w:r>
      <w:r w:rsidRPr="00EA2729">
        <w:rPr>
          <w:sz w:val="28"/>
          <w:szCs w:val="28"/>
        </w:rPr>
        <w:t>A case involving franchisee counterfeiting the registered trademark of franchiser</w:t>
      </w:r>
    </w:p>
    <w:p w:rsidR="00824208" w:rsidRDefault="00824208" w:rsidP="00824208">
      <w:pPr>
        <w:adjustRightInd w:val="0"/>
        <w:snapToGrid w:val="0"/>
        <w:spacing w:line="312" w:lineRule="auto"/>
        <w:rPr>
          <w:sz w:val="28"/>
          <w:szCs w:val="28"/>
        </w:rPr>
      </w:pPr>
      <w:r w:rsidRPr="005A1DD1">
        <w:rPr>
          <w:sz w:val="28"/>
          <w:szCs w:val="28"/>
        </w:rPr>
        <w:t>—</w:t>
      </w:r>
      <w:r w:rsidRPr="00EA2729">
        <w:rPr>
          <w:sz w:val="28"/>
          <w:szCs w:val="28"/>
        </w:rPr>
        <w:t>Case Involving the Crime of Counterfeiting Registered Trademark Committed by Defendants Gu, Zhang, and Ling</w:t>
      </w:r>
    </w:p>
    <w:p w:rsidR="00824208" w:rsidRPr="005A1DD1" w:rsidRDefault="00824208" w:rsidP="00824208">
      <w:pPr>
        <w:adjustRightInd w:val="0"/>
        <w:snapToGrid w:val="0"/>
        <w:spacing w:line="312" w:lineRule="auto"/>
        <w:rPr>
          <w:rFonts w:eastAsia="仿宋_GB2312"/>
          <w:sz w:val="28"/>
          <w:szCs w:val="28"/>
        </w:rPr>
      </w:pP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[Case Information]</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Case No.: Taizhou Intermediate People's Court (2019) S. 12 X.C. No. 34</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Procuratorate: Taizhou People's Procuratorate of Jiangsu Province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Defendants: Gu, Zhang, and Ling</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[Adjudication Gist]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A franchisee uses, without permission of the owner of a registered trademark, a trademark identical with the registered trademark on the products of the same category, and sells the products at his franchise store. The circumstances are extraordinarily serious, and the act constitutes the crime of counterfeiting registered trademark. The defendants concluded the statement of confession and punishment acceptance. However, given the extraordinarily severe infringement of the defendants, who committed the crime which involved a huge amount of illegal turnover and conducted the same infringing act after being administratively punished for selling products bearing the counterfeited registered trademark, they shall be subject to severe punishment with less leniency.</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[Case Description]</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Gu was fined RMB 200,000 for selling clothes bearing the counterfeited "TRIES" trademark, which were confiscated by the Administration for Market Regulation of Xinghua on April 7, 2015.</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Fujian Tries Group Co., Ltd. is the owner of the registered trademark "</w:t>
      </w:r>
      <w:r w:rsidR="008E3AEC" w:rsidRPr="008906E9">
        <w:rPr>
          <w:sz w:val="28"/>
          <w:szCs w:val="28"/>
        </w:rPr>
        <w:pict>
          <v:shape id="_x0000_i1080" type="#_x0000_t75" alt="1230707" style="width:40.2pt;height:22.45pt;visibility:visible">
            <v:imagedata r:id="rId26" o:title=""/>
          </v:shape>
        </w:pict>
      </w:r>
      <w:r w:rsidRPr="005A1DD1">
        <w:rPr>
          <w:sz w:val="28"/>
          <w:szCs w:val="28"/>
        </w:rPr>
        <w:t xml:space="preserve">" with the term renewed to December 13, 2028. The trademark has been approved to be used on the following products (under Category 25): shirts, suits and uniforms, pants, ties, shoes, garment bags, children's wear, knitwear (clothing), and socks. On November 20, 2003, the trademark was assigned to </w:t>
      </w:r>
      <w:r w:rsidRPr="005A1DD1">
        <w:rPr>
          <w:sz w:val="28"/>
          <w:szCs w:val="28"/>
        </w:rPr>
        <w:lastRenderedPageBreak/>
        <w:t>Fujian Tries Group Co., Ltd. upon approval by the Trademark Office of the State Administration for Industry and Commerce ("Trademark Office"). On December 24, 2008, the trademark's assignee was changed upon approval to Fujian Caizi Apparels Co., Ltd. (hereinafter referred to as "Caizi")</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From 2015 to 2018, the Defendants Gu XX, Zhang X, and Ling XX conducted the following acts without the authorization of the owner of the registered trademark to seek illegal profits: The Defendant Gu XX, along with the Defendant Ling XX, purchased semi-finished clothes from the garment markets in areas such as Changshu of Jiangsu Province and Puyuan of Zhejiang Province. Wu X (</w:t>
      </w:r>
      <w:r w:rsidRPr="0011676E">
        <w:rPr>
          <w:sz w:val="28"/>
          <w:szCs w:val="28"/>
        </w:rPr>
        <w:t>handled separately</w:t>
      </w:r>
      <w:r w:rsidRPr="005A1DD1">
        <w:rPr>
          <w:sz w:val="28"/>
          <w:szCs w:val="28"/>
        </w:rPr>
        <w:t xml:space="preserve">) made the counterfeited "TRIES" trademark, hangtags and other accessories. The Defendant Zhang X sewed the counterfeited "TRIES" trademark onto the semi-finished clothes mailed such counterfeited clothes and hangtags to the Defendant Gu XX. The Defendant Ling arranged for Gu and Zhou (both </w:t>
      </w:r>
      <w:r w:rsidRPr="0011676E">
        <w:rPr>
          <w:sz w:val="28"/>
          <w:szCs w:val="28"/>
        </w:rPr>
        <w:t>handled separately</w:t>
      </w:r>
      <w:r w:rsidRPr="005A1DD1">
        <w:rPr>
          <w:sz w:val="28"/>
          <w:szCs w:val="28"/>
        </w:rPr>
        <w:t>) to attach hangtags to the clothes and pack them in the apartment of his father Ling Zhenghai at Room 108, Building 18, Chengbao New Village, Xinghua City, and then sold the clothes bearing the counterfeited "TRIES" trademark in the franchise stores at No. 6-8 Yingwu Middle Road and No. 25, Maqiao Road, Xinghua City, which were jointly operated by the Defendants Gu and Ling.</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From January to April 2019, the public security organ legally seized 3,949 pieces of the clothes bearing the counterfeited "TRIES" trademark at the stores operated by Gu and Ling, with the sales value amounting to RMB 6,578,667, which was calculated at the selling prices indicated on the above hangtags. It would be RMB 2,368,320.12 if it was calculated at the wholesale prices of the products from Caizi.</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The Defendants Gu, Zhang, and Ling truthfully confessed to the crime committed after being arrested and brought to justice.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It is also found that, the Defendant Gu and Caizi concluded a franchising contract in 2009 on setting the unified retail prices at 80% of the hangtag prices, purchasing the genuine "TRIES" clothes at 45% of the unified retail prices, and </w:t>
      </w:r>
      <w:r w:rsidRPr="005A1DD1">
        <w:rPr>
          <w:sz w:val="28"/>
          <w:szCs w:val="28"/>
        </w:rPr>
        <w:lastRenderedPageBreak/>
        <w:t>selling them in Xinghua, Taizhou.</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On January 22, 2015, the Administration for Market Regulation of Xinghua, after receiving a report, investigated the stores whose business licenses were obtained in the names of Gu and Ling. A total of 128 pairs of pants bearing the counterfeited "TRIES" brand were seized and confiscated. The Administration rendered two administrative penalty decisions [Xing Shi Jian (Gong Shang) An Zi No. 00082 and Xing Shi Jian (Gong Shang) An Zi No. 00084] to impose a fine of RMB 200,000 on the Defendants Ling and Gu respectively.</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[Decision of the Court]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The Defendants Gu, Zhang, and Ling, without permission of the owner of the registered trademark, used the trademark identical with the registered trademark on products of the same category. The circumstances are extraordinar</w:t>
      </w:r>
      <w:r>
        <w:rPr>
          <w:rFonts w:hint="eastAsia"/>
          <w:sz w:val="28"/>
          <w:szCs w:val="28"/>
        </w:rPr>
        <w:t>ily</w:t>
      </w:r>
      <w:r w:rsidRPr="005A1DD1">
        <w:rPr>
          <w:sz w:val="28"/>
          <w:szCs w:val="28"/>
        </w:rPr>
        <w:t xml:space="preserve"> serious, and their acts constitute the crime of counterfeiting registered trademark. The Defendants Gu, Zhang, and Ling had the capacity for criminal liability when committing the criminal acts, and shall be liable for their crime accordingly under the law. The facts contained in the public prosecutor's charges against each Defendant are clear, the evidence is conclusive and sufficient, and the charges are correct.</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The Defendants Gu and Ling had been administratively punished for IP infringement before committing the same crime again, and thus shall be given heavier sentence</w:t>
      </w:r>
      <w:r>
        <w:rPr>
          <w:rFonts w:hint="eastAsia"/>
          <w:sz w:val="28"/>
          <w:szCs w:val="28"/>
        </w:rPr>
        <w:t>s</w:t>
      </w:r>
      <w:r w:rsidRPr="005A1DD1">
        <w:rPr>
          <w:sz w:val="28"/>
          <w:szCs w:val="28"/>
        </w:rPr>
        <w:t xml:space="preserve">. The Defendants Gu, Zhang, and Ling were charged with complicity. The Defendants Gu and Zhang are principal criminals as they played leading roles in the complicity, and the Defendant Ling is an accessory criminal as he played a subordinate role in the complicity. The Defendants Gu and Zhang shall be sentenced based on all crimes that they committed, organized, or led. The Defendant Ling shall be given </w:t>
      </w:r>
      <w:r>
        <w:rPr>
          <w:rFonts w:hint="eastAsia"/>
          <w:sz w:val="28"/>
          <w:szCs w:val="28"/>
        </w:rPr>
        <w:t xml:space="preserve">a </w:t>
      </w:r>
      <w:r w:rsidRPr="005A1DD1">
        <w:rPr>
          <w:sz w:val="28"/>
          <w:szCs w:val="28"/>
        </w:rPr>
        <w:t>lighter or reduced sentence. The Defendants Gu, Ling, and Zhang, after being arrested and brought to justice, truthfully confessed to the crime that they committed, and may be given lighter sentence</w:t>
      </w:r>
      <w:r>
        <w:rPr>
          <w:rFonts w:hint="eastAsia"/>
          <w:sz w:val="28"/>
          <w:szCs w:val="28"/>
        </w:rPr>
        <w:t>s</w:t>
      </w:r>
      <w:r w:rsidRPr="005A1DD1">
        <w:rPr>
          <w:sz w:val="28"/>
          <w:szCs w:val="28"/>
        </w:rPr>
        <w:t xml:space="preserve">. The Defendants Gu, Ling, and Zhang truthfully confessed to the crime they committed, admitted the facts contained in the charges, and were </w:t>
      </w:r>
      <w:r w:rsidRPr="005A1DD1">
        <w:rPr>
          <w:sz w:val="28"/>
          <w:szCs w:val="28"/>
        </w:rPr>
        <w:lastRenderedPageBreak/>
        <w:t xml:space="preserve">willing to accept </w:t>
      </w:r>
      <w:r>
        <w:rPr>
          <w:rFonts w:hint="eastAsia"/>
          <w:sz w:val="28"/>
          <w:szCs w:val="28"/>
        </w:rPr>
        <w:t xml:space="preserve">the </w:t>
      </w:r>
      <w:r w:rsidRPr="005A1DD1">
        <w:rPr>
          <w:sz w:val="28"/>
          <w:szCs w:val="28"/>
        </w:rPr>
        <w:t xml:space="preserve">sentence. They may be sentenced leniently in accordance with </w:t>
      </w:r>
      <w:r>
        <w:rPr>
          <w:rFonts w:hint="eastAsia"/>
          <w:sz w:val="28"/>
          <w:szCs w:val="28"/>
        </w:rPr>
        <w:t xml:space="preserve">the </w:t>
      </w:r>
      <w:r w:rsidRPr="005A1DD1">
        <w:rPr>
          <w:sz w:val="28"/>
          <w:szCs w:val="28"/>
        </w:rPr>
        <w:t>law.</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With respect to the Defendant Gu's self-defense on the calculation method of illegal turnover and the application of suspended prison sentence, the court is of the following opinions: The public prosecutor has taken into account the actual sale situation of the Defendant Gu when combining the defense request of the Defendant Zhang, and takes the wholesale prices offered by Caizi to the Defendant Gu as the base for calculating the amount of illegal turnover of the Defendant Gu from the perspective in favor of the defendants for the infringing clothes seized by the investigation organ, which complies with legal provisions. The circumstances of the crime committed by the Defendant Gu are extraordinarily serious, which does not meet the requirements for </w:t>
      </w:r>
      <w:r>
        <w:rPr>
          <w:rFonts w:hint="eastAsia"/>
          <w:sz w:val="28"/>
          <w:szCs w:val="28"/>
        </w:rPr>
        <w:t xml:space="preserve">a </w:t>
      </w:r>
      <w:r w:rsidRPr="005A1DD1">
        <w:rPr>
          <w:sz w:val="28"/>
          <w:szCs w:val="28"/>
        </w:rPr>
        <w:t>suspended prison sentence.</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With respect to the defense of the Defendant's lawyers Yin Ming and Ye Lijin, the court is of the following opinions: 1. On the issue concerning unclear fact </w:t>
      </w:r>
      <w:r>
        <w:rPr>
          <w:rFonts w:hint="eastAsia"/>
          <w:sz w:val="28"/>
          <w:szCs w:val="28"/>
        </w:rPr>
        <w:t>found</w:t>
      </w:r>
      <w:r w:rsidRPr="005A1DD1">
        <w:rPr>
          <w:sz w:val="28"/>
          <w:szCs w:val="28"/>
        </w:rPr>
        <w:t xml:space="preserve"> on the quantity of the infringing clothes and insufficient evidence, the investigation file has reflected that the original appraiser and relevant personnel of Caizi were suspected of cover-up and Caizi has conducted a reappraisal and presented the value of the infringing clothes. This defense is thus denied. 2. On the issue concerning the finding on the amount of illegal turnover involved in this case, it has been elaborated above. This defense is thus denied. 3. On the issue concerning whether or not the act of the Defendant Gu constitutes voluntary surrender, as the Defendant Gu was arrested and brought to justice and did not truthfully confessed to all facts contained in the crime committed at the first interrogation. This defense is thus denied. 4. The lawyers' defense opinion that the Defendant Gu should be given suspended prison sentence is denied. 5. The lawyers' opinion that the Defendant Gu should be </w:t>
      </w:r>
      <w:r>
        <w:rPr>
          <w:rFonts w:hint="eastAsia"/>
          <w:sz w:val="28"/>
          <w:szCs w:val="28"/>
        </w:rPr>
        <w:t xml:space="preserve">a </w:t>
      </w:r>
      <w:r w:rsidRPr="005A1DD1">
        <w:rPr>
          <w:sz w:val="28"/>
          <w:szCs w:val="28"/>
        </w:rPr>
        <w:t>lighter sentence for his sign of repentance, voluntary confession, and willingness to accept sentence is admitted.</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With respect to the defense of the Defendant's lawyer Wang Peng, the court </w:t>
      </w:r>
      <w:r w:rsidRPr="005A1DD1">
        <w:rPr>
          <w:sz w:val="28"/>
          <w:szCs w:val="28"/>
        </w:rPr>
        <w:lastRenderedPageBreak/>
        <w:t>is of the following opinion: The Defendant Zhang obtained the trademark involved in this case from Wu Yawen, sewed it onto the clothes without authorization, and mailed the clothes to the place designated by the Defendant Gu. He played a leading role in the crime of counterfeiting registered trademark and thus is identified as a principal criminal. The determination of the nature thereof is accurate, and this defense is thus denied. The court will decide the deserved sentence of the Defendant in accordance with law by taking into account sentencing factors such as the Defendant's role in the crime and the facts related to the crime, the nature of the crime, the circumstances of the crime and the social harmfulness, and opinions of the public prosecutor.</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 xml:space="preserve">In view of the above, the court ruled: The Defendant Gu shall be sentenced to four years and two months in prison for the crime of counterfeiting registered trademark and be fined RMB 700,000 as </w:t>
      </w:r>
      <w:r>
        <w:rPr>
          <w:rFonts w:hint="eastAsia"/>
          <w:sz w:val="28"/>
          <w:szCs w:val="28"/>
        </w:rPr>
        <w:t xml:space="preserve">a </w:t>
      </w:r>
      <w:r w:rsidRPr="005A1DD1">
        <w:rPr>
          <w:sz w:val="28"/>
          <w:szCs w:val="28"/>
        </w:rPr>
        <w:t xml:space="preserve">penalty. The Defendant Zhang shall be sentenced to three years in prison for the crime of counterfeiting registered trademark, suspended for four years, and be fined RMB 200,000 as </w:t>
      </w:r>
      <w:r>
        <w:rPr>
          <w:rFonts w:hint="eastAsia"/>
          <w:sz w:val="28"/>
          <w:szCs w:val="28"/>
        </w:rPr>
        <w:t xml:space="preserve">a </w:t>
      </w:r>
      <w:r w:rsidRPr="005A1DD1">
        <w:rPr>
          <w:sz w:val="28"/>
          <w:szCs w:val="28"/>
        </w:rPr>
        <w:t xml:space="preserve">penalty. The Defendant Ling shall be sentenced to two years and six months in prison for the crime of counterfeiting registered trademark, suspended for three years and six months, and be fined RMB 300,000 as </w:t>
      </w:r>
      <w:r>
        <w:rPr>
          <w:rFonts w:hint="eastAsia"/>
          <w:sz w:val="28"/>
          <w:szCs w:val="28"/>
        </w:rPr>
        <w:t xml:space="preserve">a </w:t>
      </w:r>
      <w:r w:rsidRPr="005A1DD1">
        <w:rPr>
          <w:sz w:val="28"/>
          <w:szCs w:val="28"/>
        </w:rPr>
        <w:t>penalty. The seized counterfeited marks (including those removed from the clothes) shall be destroyed by the organ that temporarily stores these marks. For the 3,949 pieces of clothes with marks removed and mobile phones of all defendants (the Defendant Gu: 1 iPhone X; the Defendant Zhang: 1 Vivo X6D; the Defendant Ling: 1 iPhone 6s) shall be confiscated and turned over to the State Treasury. The illegal gains of all defendants shall be recovered and turned over to the State Treasury.</w:t>
      </w:r>
    </w:p>
    <w:p w:rsidR="00824208" w:rsidRPr="005A1DD1" w:rsidRDefault="00824208" w:rsidP="00824208">
      <w:pPr>
        <w:adjustRightInd w:val="0"/>
        <w:snapToGrid w:val="0"/>
        <w:spacing w:line="312" w:lineRule="auto"/>
        <w:ind w:firstLineChars="200" w:firstLine="560"/>
        <w:rPr>
          <w:rFonts w:eastAsia="仿宋_GB2312"/>
          <w:sz w:val="28"/>
          <w:szCs w:val="28"/>
        </w:rPr>
      </w:pPr>
      <w:r w:rsidRPr="005A1DD1">
        <w:rPr>
          <w:sz w:val="28"/>
          <w:szCs w:val="28"/>
        </w:rPr>
        <w:t>After sentencing, no defendant appealed.</w:t>
      </w:r>
    </w:p>
    <w:p w:rsidR="00824208" w:rsidRPr="005A1DD1" w:rsidRDefault="00824208" w:rsidP="00824208">
      <w:pPr>
        <w:adjustRightInd w:val="0"/>
        <w:snapToGrid w:val="0"/>
        <w:spacing w:line="312" w:lineRule="auto"/>
        <w:ind w:firstLineChars="200" w:firstLine="562"/>
        <w:rPr>
          <w:rFonts w:eastAsia="仿宋_GB2312"/>
          <w:b/>
          <w:bCs/>
          <w:sz w:val="28"/>
          <w:szCs w:val="28"/>
        </w:rPr>
      </w:pPr>
      <w:r w:rsidRPr="005A1DD1">
        <w:rPr>
          <w:b/>
          <w:bCs/>
          <w:sz w:val="28"/>
          <w:szCs w:val="28"/>
        </w:rPr>
        <w:t>[Typical Significance]</w:t>
      </w:r>
    </w:p>
    <w:p w:rsidR="00824208" w:rsidRPr="005A1DD1" w:rsidRDefault="00824208" w:rsidP="00824208">
      <w:pPr>
        <w:adjustRightInd w:val="0"/>
        <w:snapToGrid w:val="0"/>
        <w:spacing w:line="312" w:lineRule="auto"/>
        <w:ind w:firstLineChars="200" w:firstLine="560"/>
        <w:rPr>
          <w:sz w:val="28"/>
          <w:szCs w:val="28"/>
        </w:rPr>
      </w:pPr>
      <w:r w:rsidRPr="005A1DD1">
        <w:rPr>
          <w:sz w:val="28"/>
          <w:szCs w:val="28"/>
        </w:rPr>
        <w:t xml:space="preserve">This is a typical case where a franchisee colludes with others in producing and selling products bearing the counterfeited registered trademark of the franchiser during the franchising period despite having been administratively punished before for the same illegal act. The "TRIES" trademark enjoys </w:t>
      </w:r>
      <w:r>
        <w:rPr>
          <w:rFonts w:hint="eastAsia"/>
          <w:sz w:val="28"/>
          <w:szCs w:val="28"/>
        </w:rPr>
        <w:t xml:space="preserve">a </w:t>
      </w:r>
      <w:r w:rsidRPr="005A1DD1">
        <w:rPr>
          <w:sz w:val="28"/>
          <w:szCs w:val="28"/>
        </w:rPr>
        <w:t xml:space="preserve">high </w:t>
      </w:r>
      <w:r w:rsidRPr="005A1DD1">
        <w:rPr>
          <w:sz w:val="28"/>
          <w:szCs w:val="28"/>
        </w:rPr>
        <w:lastRenderedPageBreak/>
        <w:t>reputation in the clothing industry. The Defendant Gu concluded a long-term franchising contract with Caizi and opened local franchise stores to sell the "TRIES" clothes. Despite having been administratively punished before for selling clothes bearing the counterfeited "TRIES" trademark, the Defendant Gu staged a comeback and colluded with other defendants in committing the same crime. They sought illegal profits by purchasing semi-finished clothes and attaching the counterfeited "TRIES" trademark and hangtags, etc. The amount of illegal turnover is huge. The selling prices indicated on hangtags for the clothes seized by the p</w:t>
      </w:r>
      <w:r>
        <w:rPr>
          <w:sz w:val="28"/>
          <w:szCs w:val="28"/>
        </w:rPr>
        <w:t>olice</w:t>
      </w:r>
      <w:r w:rsidRPr="005A1DD1">
        <w:rPr>
          <w:sz w:val="28"/>
          <w:szCs w:val="28"/>
        </w:rPr>
        <w:t xml:space="preserve"> total RMB 6,578,667. The amount totals RMB 2,368,320.12 if calculated at the wholesale prices offered by Caizi. Therefore, the Defendants' infringement results in bad nature and extraordinarily serious circumstances. Although Gu signed a statement of confession and punishment acceptance, the court still strictly controlled leniency range and sentenced Gu to four years and two months in prison and imposed a fine of RMB 700,000, and accordingly sentenced other defendants respectively based on their roles in the crime and the circumstances of the crime. The sentence of this case reflects strict punishment on the crime of counterfeiting registered trademark, compliance to the value orientation of business integrity and standardized order of the market economy, and the judicial policy of combining punishment with leniency in criminal cases.</w:t>
      </w:r>
    </w:p>
    <w:p w:rsidR="00824208" w:rsidRPr="00DB2ACE" w:rsidRDefault="00824208" w:rsidP="00824208">
      <w:pPr>
        <w:adjustRightInd w:val="0"/>
        <w:snapToGrid w:val="0"/>
        <w:spacing w:line="312" w:lineRule="auto"/>
        <w:ind w:firstLineChars="200" w:firstLine="560"/>
        <w:rPr>
          <w:sz w:val="28"/>
          <w:szCs w:val="28"/>
        </w:rPr>
      </w:pPr>
    </w:p>
    <w:p w:rsidR="00D906DC" w:rsidRPr="00824208" w:rsidRDefault="00D906DC" w:rsidP="00211241">
      <w:pPr>
        <w:tabs>
          <w:tab w:val="left" w:pos="792"/>
        </w:tabs>
        <w:rPr>
          <w:rFonts w:ascii="仿宋" w:eastAsia="仿宋" w:hAnsi="仿宋"/>
          <w:sz w:val="32"/>
          <w:szCs w:val="32"/>
        </w:rPr>
      </w:pPr>
    </w:p>
    <w:sectPr w:rsidR="00D906DC" w:rsidRPr="00824208" w:rsidSect="00275F1F">
      <w:footerReference w:type="default" r:id="rId27"/>
      <w:pgSz w:w="11906" w:h="16838" w:code="9"/>
      <w:pgMar w:top="2268" w:right="1418" w:bottom="1701" w:left="1418" w:header="851" w:footer="992" w:gutter="0"/>
      <w:pgNumType w:start="1"/>
      <w:cols w:space="425"/>
      <w:docGrid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26864" w:rsidRDefault="00F26864" w:rsidP="00BD4DF4">
      <w:r>
        <w:separator/>
      </w:r>
    </w:p>
  </w:endnote>
  <w:endnote w:type="continuationSeparator" w:id="1">
    <w:p w:rsidR="00F26864" w:rsidRDefault="00F26864" w:rsidP="00BD4DF4">
      <w:r>
        <w:continuationSeparator/>
      </w:r>
    </w:p>
  </w:endnote>
</w:endnotes>
</file>

<file path=word/fontTable.xml><?xml version="1.0" encoding="utf-8"?>
<w:fonts xmlns:r="http://schemas.openxmlformats.org/officeDocument/2006/relationships" xmlns:w="http://schemas.openxmlformats.org/wordprocessingml/2006/main">
  <w:font w:name="等线">
    <w:altName w:val="Arial Unicode MS"/>
    <w:charset w:val="86"/>
    <w:family w:val="auto"/>
    <w:pitch w:val="variable"/>
    <w:sig w:usb0="00000000" w:usb1="38CF7CFA" w:usb2="00000016" w:usb3="00000000" w:csb0="0004000F" w:csb1="00000000"/>
  </w:font>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 w:name="仿宋">
    <w:panose1 w:val="02010609060101010101"/>
    <w:charset w:val="86"/>
    <w:family w:val="modern"/>
    <w:pitch w:val="fixed"/>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Calibri">
    <w:panose1 w:val="020F0502020204030204"/>
    <w:charset w:val="00"/>
    <w:family w:val="swiss"/>
    <w:pitch w:val="variable"/>
    <w:sig w:usb0="A00002EF" w:usb1="4000207B" w:usb2="00000000" w:usb3="00000000" w:csb0="0000009F" w:csb1="00000000"/>
  </w:font>
  <w:font w:name="楷体">
    <w:panose1 w:val="02010609060101010101"/>
    <w:charset w:val="86"/>
    <w:family w:val="modern"/>
    <w:pitch w:val="fixed"/>
    <w:sig w:usb0="800002BF" w:usb1="38CF7CFA" w:usb2="00000016" w:usb3="00000000" w:csb0="00040001" w:csb1="00000000"/>
  </w:font>
  <w:font w:name="MingLiU">
    <w:altName w:val="細明體"/>
    <w:panose1 w:val="02020509000000000000"/>
    <w:charset w:val="88"/>
    <w:family w:val="modern"/>
    <w:pitch w:val="fixed"/>
    <w:sig w:usb0="A00002FF" w:usb1="28CFFCFA" w:usb2="00000016" w:usb3="00000000" w:csb0="00100001" w:csb1="00000000"/>
  </w:font>
  <w:font w:name="MingLiU_HKSCS">
    <w:panose1 w:val="02020500000000000000"/>
    <w:charset w:val="88"/>
    <w:family w:val="roman"/>
    <w:pitch w:val="variable"/>
    <w:sig w:usb0="A00002FF" w:usb1="38CFFCFA" w:usb2="00000016" w:usb3="00000000" w:csb0="00100001" w:csb1="00000000"/>
  </w:font>
  <w:font w:name="Palatino Linotype">
    <w:panose1 w:val="02040502050505030304"/>
    <w:charset w:val="00"/>
    <w:family w:val="roman"/>
    <w:pitch w:val="variable"/>
    <w:sig w:usb0="E0000387" w:usb1="40000013"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0D89" w:rsidRDefault="008906E9" w:rsidP="00177942">
    <w:pPr>
      <w:pStyle w:val="a5"/>
      <w:framePr w:wrap="auto" w:vAnchor="text" w:hAnchor="margin" w:xAlign="center" w:y="1"/>
      <w:rPr>
        <w:rStyle w:val="a6"/>
      </w:rPr>
    </w:pPr>
    <w:r>
      <w:rPr>
        <w:rStyle w:val="a6"/>
      </w:rPr>
      <w:fldChar w:fldCharType="begin"/>
    </w:r>
    <w:r w:rsidR="00560D89">
      <w:rPr>
        <w:rStyle w:val="a6"/>
      </w:rPr>
      <w:instrText xml:space="preserve">PAGE  </w:instrText>
    </w:r>
    <w:r>
      <w:rPr>
        <w:rStyle w:val="a6"/>
      </w:rPr>
      <w:fldChar w:fldCharType="end"/>
    </w:r>
  </w:p>
  <w:p w:rsidR="00560D89" w:rsidRDefault="00560D89">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0D89" w:rsidRDefault="00560D89">
    <w:pPr>
      <w:pStyle w:val="a5"/>
      <w:jc w:val="center"/>
    </w:pPr>
  </w:p>
  <w:p w:rsidR="00560D89" w:rsidRDefault="00560D89">
    <w:pPr>
      <w:pStyle w:val="a5"/>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0D89" w:rsidRDefault="008906E9">
    <w:pPr>
      <w:pStyle w:val="a5"/>
      <w:jc w:val="center"/>
    </w:pPr>
    <w:r>
      <w:fldChar w:fldCharType="begin"/>
    </w:r>
    <w:r w:rsidR="00560D89">
      <w:instrText>PAGE   \* MERGEFORMAT</w:instrText>
    </w:r>
    <w:r>
      <w:fldChar w:fldCharType="separate"/>
    </w:r>
    <w:r w:rsidR="007D157E" w:rsidRPr="007D157E">
      <w:rPr>
        <w:noProof/>
        <w:lang w:val="zh-CN"/>
      </w:rPr>
      <w:t>86</w:t>
    </w:r>
    <w:r>
      <w:fldChar w:fldCharType="end"/>
    </w:r>
  </w:p>
  <w:p w:rsidR="00560D89" w:rsidRDefault="00560D89">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26864" w:rsidRDefault="00F26864" w:rsidP="00BD4DF4">
      <w:r>
        <w:separator/>
      </w:r>
    </w:p>
  </w:footnote>
  <w:footnote w:type="continuationSeparator" w:id="1">
    <w:p w:rsidR="00F26864" w:rsidRDefault="00F26864" w:rsidP="00BD4DF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0D89" w:rsidRDefault="00560D89" w:rsidP="005F3E79">
    <w:pPr>
      <w:pStyle w:val="aa"/>
      <w:pBdr>
        <w:bottom w:val="none" w:sz="0" w:space="0"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oNotTrackMoves/>
  <w:defaultTabStop w:val="420"/>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1741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D4DF4"/>
    <w:rsid w:val="00025A6F"/>
    <w:rsid w:val="00046619"/>
    <w:rsid w:val="00047D24"/>
    <w:rsid w:val="00057B78"/>
    <w:rsid w:val="00070853"/>
    <w:rsid w:val="00070DFD"/>
    <w:rsid w:val="00071DCC"/>
    <w:rsid w:val="000727BC"/>
    <w:rsid w:val="0007423D"/>
    <w:rsid w:val="00076E0F"/>
    <w:rsid w:val="00086986"/>
    <w:rsid w:val="00087106"/>
    <w:rsid w:val="00093763"/>
    <w:rsid w:val="00094D62"/>
    <w:rsid w:val="00096976"/>
    <w:rsid w:val="000A289B"/>
    <w:rsid w:val="000A585C"/>
    <w:rsid w:val="000B011F"/>
    <w:rsid w:val="000B4D75"/>
    <w:rsid w:val="000B7394"/>
    <w:rsid w:val="000C27F4"/>
    <w:rsid w:val="000C44CA"/>
    <w:rsid w:val="000C558B"/>
    <w:rsid w:val="000C5B24"/>
    <w:rsid w:val="000D32BB"/>
    <w:rsid w:val="000E112F"/>
    <w:rsid w:val="000E3059"/>
    <w:rsid w:val="000E5396"/>
    <w:rsid w:val="00101855"/>
    <w:rsid w:val="00101D78"/>
    <w:rsid w:val="001023F4"/>
    <w:rsid w:val="001024E2"/>
    <w:rsid w:val="00102D86"/>
    <w:rsid w:val="00104605"/>
    <w:rsid w:val="00104FE4"/>
    <w:rsid w:val="00110C58"/>
    <w:rsid w:val="001125DE"/>
    <w:rsid w:val="001220A0"/>
    <w:rsid w:val="001400C9"/>
    <w:rsid w:val="00143955"/>
    <w:rsid w:val="001506DA"/>
    <w:rsid w:val="001542C0"/>
    <w:rsid w:val="00156F60"/>
    <w:rsid w:val="00157F05"/>
    <w:rsid w:val="001613C6"/>
    <w:rsid w:val="001769D2"/>
    <w:rsid w:val="00177942"/>
    <w:rsid w:val="00187855"/>
    <w:rsid w:val="001942F2"/>
    <w:rsid w:val="001A2B2B"/>
    <w:rsid w:val="001A658F"/>
    <w:rsid w:val="001A6FCA"/>
    <w:rsid w:val="001B1321"/>
    <w:rsid w:val="001B47DB"/>
    <w:rsid w:val="001B7B0B"/>
    <w:rsid w:val="001C02EA"/>
    <w:rsid w:val="001C0C8B"/>
    <w:rsid w:val="001C5DD8"/>
    <w:rsid w:val="001C7413"/>
    <w:rsid w:val="001D02E9"/>
    <w:rsid w:val="001D1465"/>
    <w:rsid w:val="001D2C9D"/>
    <w:rsid w:val="001D69B8"/>
    <w:rsid w:val="001E04C9"/>
    <w:rsid w:val="001F2388"/>
    <w:rsid w:val="00211241"/>
    <w:rsid w:val="002347A5"/>
    <w:rsid w:val="00246831"/>
    <w:rsid w:val="00265116"/>
    <w:rsid w:val="00265CAA"/>
    <w:rsid w:val="00275F1F"/>
    <w:rsid w:val="00280791"/>
    <w:rsid w:val="00291870"/>
    <w:rsid w:val="00297452"/>
    <w:rsid w:val="002A1A8F"/>
    <w:rsid w:val="002B3AC7"/>
    <w:rsid w:val="002C07E1"/>
    <w:rsid w:val="002C219F"/>
    <w:rsid w:val="002C2A44"/>
    <w:rsid w:val="002D4A9A"/>
    <w:rsid w:val="002D5FEB"/>
    <w:rsid w:val="002E613B"/>
    <w:rsid w:val="002F1EF6"/>
    <w:rsid w:val="002F2DC1"/>
    <w:rsid w:val="002F3FEE"/>
    <w:rsid w:val="00302581"/>
    <w:rsid w:val="003120C3"/>
    <w:rsid w:val="00312AF5"/>
    <w:rsid w:val="00317058"/>
    <w:rsid w:val="003248B8"/>
    <w:rsid w:val="003261B7"/>
    <w:rsid w:val="00330821"/>
    <w:rsid w:val="003319BE"/>
    <w:rsid w:val="00340BC8"/>
    <w:rsid w:val="00347712"/>
    <w:rsid w:val="003533C9"/>
    <w:rsid w:val="003554EC"/>
    <w:rsid w:val="00363D3E"/>
    <w:rsid w:val="00372EB9"/>
    <w:rsid w:val="00375114"/>
    <w:rsid w:val="003779C6"/>
    <w:rsid w:val="00381329"/>
    <w:rsid w:val="00391DA0"/>
    <w:rsid w:val="00392C81"/>
    <w:rsid w:val="003931BD"/>
    <w:rsid w:val="003A1FEC"/>
    <w:rsid w:val="003A414C"/>
    <w:rsid w:val="003A440E"/>
    <w:rsid w:val="003A5F02"/>
    <w:rsid w:val="003B33DB"/>
    <w:rsid w:val="003C08B7"/>
    <w:rsid w:val="003C3BA8"/>
    <w:rsid w:val="003C4BBC"/>
    <w:rsid w:val="003D3B74"/>
    <w:rsid w:val="003D3F2D"/>
    <w:rsid w:val="003D6C8A"/>
    <w:rsid w:val="003E4BA0"/>
    <w:rsid w:val="003F25D2"/>
    <w:rsid w:val="003F3174"/>
    <w:rsid w:val="00400AAC"/>
    <w:rsid w:val="0040512C"/>
    <w:rsid w:val="0040556D"/>
    <w:rsid w:val="00424D2E"/>
    <w:rsid w:val="00461C2C"/>
    <w:rsid w:val="004622E6"/>
    <w:rsid w:val="00463933"/>
    <w:rsid w:val="0046448C"/>
    <w:rsid w:val="004645EB"/>
    <w:rsid w:val="00465A13"/>
    <w:rsid w:val="00470256"/>
    <w:rsid w:val="00470323"/>
    <w:rsid w:val="00476B06"/>
    <w:rsid w:val="00496B5B"/>
    <w:rsid w:val="00497FBC"/>
    <w:rsid w:val="004A49BC"/>
    <w:rsid w:val="004B0D84"/>
    <w:rsid w:val="004B2174"/>
    <w:rsid w:val="004B6A93"/>
    <w:rsid w:val="004C0C1B"/>
    <w:rsid w:val="004C103F"/>
    <w:rsid w:val="004C5850"/>
    <w:rsid w:val="004D5117"/>
    <w:rsid w:val="004E0597"/>
    <w:rsid w:val="004E2566"/>
    <w:rsid w:val="004E35EF"/>
    <w:rsid w:val="004F3A55"/>
    <w:rsid w:val="004F521C"/>
    <w:rsid w:val="0050214E"/>
    <w:rsid w:val="00513E5A"/>
    <w:rsid w:val="00516180"/>
    <w:rsid w:val="005246B3"/>
    <w:rsid w:val="005268DF"/>
    <w:rsid w:val="0053261E"/>
    <w:rsid w:val="005355A0"/>
    <w:rsid w:val="00537034"/>
    <w:rsid w:val="0054379B"/>
    <w:rsid w:val="00552958"/>
    <w:rsid w:val="005572C2"/>
    <w:rsid w:val="00557533"/>
    <w:rsid w:val="00560D89"/>
    <w:rsid w:val="00563EF5"/>
    <w:rsid w:val="00577BF9"/>
    <w:rsid w:val="00583EEB"/>
    <w:rsid w:val="00584CC0"/>
    <w:rsid w:val="00584E55"/>
    <w:rsid w:val="005874CB"/>
    <w:rsid w:val="0059361F"/>
    <w:rsid w:val="005A4717"/>
    <w:rsid w:val="005A7064"/>
    <w:rsid w:val="005B05AD"/>
    <w:rsid w:val="005D4D45"/>
    <w:rsid w:val="005D7FB0"/>
    <w:rsid w:val="005F3E79"/>
    <w:rsid w:val="006014BC"/>
    <w:rsid w:val="00613472"/>
    <w:rsid w:val="00613597"/>
    <w:rsid w:val="00616197"/>
    <w:rsid w:val="006179B6"/>
    <w:rsid w:val="0062562E"/>
    <w:rsid w:val="0063078D"/>
    <w:rsid w:val="00630B74"/>
    <w:rsid w:val="00631FB3"/>
    <w:rsid w:val="006466F9"/>
    <w:rsid w:val="006548F4"/>
    <w:rsid w:val="00654F34"/>
    <w:rsid w:val="00667867"/>
    <w:rsid w:val="0067205F"/>
    <w:rsid w:val="0068674F"/>
    <w:rsid w:val="00693314"/>
    <w:rsid w:val="006934C0"/>
    <w:rsid w:val="006A34B0"/>
    <w:rsid w:val="006A3EA9"/>
    <w:rsid w:val="006B253A"/>
    <w:rsid w:val="006B53C6"/>
    <w:rsid w:val="006B6A15"/>
    <w:rsid w:val="006D0E23"/>
    <w:rsid w:val="006D0FC2"/>
    <w:rsid w:val="006D2A65"/>
    <w:rsid w:val="006D57BD"/>
    <w:rsid w:val="006D683E"/>
    <w:rsid w:val="006E5F86"/>
    <w:rsid w:val="006F60A4"/>
    <w:rsid w:val="00705D89"/>
    <w:rsid w:val="0070740B"/>
    <w:rsid w:val="0071637C"/>
    <w:rsid w:val="00717715"/>
    <w:rsid w:val="007344E6"/>
    <w:rsid w:val="007361B6"/>
    <w:rsid w:val="007411FC"/>
    <w:rsid w:val="00750EDF"/>
    <w:rsid w:val="00753BB1"/>
    <w:rsid w:val="007645C3"/>
    <w:rsid w:val="00770FA9"/>
    <w:rsid w:val="007711FB"/>
    <w:rsid w:val="007727B0"/>
    <w:rsid w:val="00772CF9"/>
    <w:rsid w:val="00774952"/>
    <w:rsid w:val="00774AE6"/>
    <w:rsid w:val="007951A3"/>
    <w:rsid w:val="0079781C"/>
    <w:rsid w:val="00797B03"/>
    <w:rsid w:val="007A1153"/>
    <w:rsid w:val="007A230D"/>
    <w:rsid w:val="007A5ED7"/>
    <w:rsid w:val="007C2CDD"/>
    <w:rsid w:val="007C383F"/>
    <w:rsid w:val="007D157E"/>
    <w:rsid w:val="007D6200"/>
    <w:rsid w:val="007E0D3E"/>
    <w:rsid w:val="007E1F8D"/>
    <w:rsid w:val="007E54E5"/>
    <w:rsid w:val="007F10B0"/>
    <w:rsid w:val="007F11CD"/>
    <w:rsid w:val="008050DE"/>
    <w:rsid w:val="008135E6"/>
    <w:rsid w:val="008143A0"/>
    <w:rsid w:val="00824208"/>
    <w:rsid w:val="0082433F"/>
    <w:rsid w:val="008259CD"/>
    <w:rsid w:val="008308D7"/>
    <w:rsid w:val="008335A8"/>
    <w:rsid w:val="008357F4"/>
    <w:rsid w:val="00836139"/>
    <w:rsid w:val="00836170"/>
    <w:rsid w:val="008443EC"/>
    <w:rsid w:val="00850B4B"/>
    <w:rsid w:val="008548D3"/>
    <w:rsid w:val="00855A8E"/>
    <w:rsid w:val="00857A77"/>
    <w:rsid w:val="00863E70"/>
    <w:rsid w:val="008726BF"/>
    <w:rsid w:val="0087659B"/>
    <w:rsid w:val="00876C28"/>
    <w:rsid w:val="00883655"/>
    <w:rsid w:val="00884971"/>
    <w:rsid w:val="008906E9"/>
    <w:rsid w:val="00892336"/>
    <w:rsid w:val="00892DE3"/>
    <w:rsid w:val="008C083E"/>
    <w:rsid w:val="008C4A5B"/>
    <w:rsid w:val="008D1C92"/>
    <w:rsid w:val="008D6CD0"/>
    <w:rsid w:val="008E3AEC"/>
    <w:rsid w:val="008E574F"/>
    <w:rsid w:val="008F1215"/>
    <w:rsid w:val="00902FE0"/>
    <w:rsid w:val="00904DAD"/>
    <w:rsid w:val="0090552D"/>
    <w:rsid w:val="00911A54"/>
    <w:rsid w:val="009171FF"/>
    <w:rsid w:val="009248AA"/>
    <w:rsid w:val="00934E20"/>
    <w:rsid w:val="00935325"/>
    <w:rsid w:val="00941047"/>
    <w:rsid w:val="00945BE9"/>
    <w:rsid w:val="009503E0"/>
    <w:rsid w:val="00962B09"/>
    <w:rsid w:val="00963475"/>
    <w:rsid w:val="00963D60"/>
    <w:rsid w:val="00963E90"/>
    <w:rsid w:val="0096421F"/>
    <w:rsid w:val="009656C2"/>
    <w:rsid w:val="009667C3"/>
    <w:rsid w:val="00971421"/>
    <w:rsid w:val="00975680"/>
    <w:rsid w:val="00975F83"/>
    <w:rsid w:val="00981047"/>
    <w:rsid w:val="009833C3"/>
    <w:rsid w:val="00985B90"/>
    <w:rsid w:val="00991D04"/>
    <w:rsid w:val="00994611"/>
    <w:rsid w:val="00995413"/>
    <w:rsid w:val="0099711B"/>
    <w:rsid w:val="009A0673"/>
    <w:rsid w:val="009B0DD2"/>
    <w:rsid w:val="009B286F"/>
    <w:rsid w:val="009B5889"/>
    <w:rsid w:val="009B7A0D"/>
    <w:rsid w:val="009C0BCC"/>
    <w:rsid w:val="009C464F"/>
    <w:rsid w:val="009D0581"/>
    <w:rsid w:val="009D075E"/>
    <w:rsid w:val="009E247A"/>
    <w:rsid w:val="009E40AB"/>
    <w:rsid w:val="009E70D0"/>
    <w:rsid w:val="009F5638"/>
    <w:rsid w:val="009F69BC"/>
    <w:rsid w:val="00A07FED"/>
    <w:rsid w:val="00A1315D"/>
    <w:rsid w:val="00A142B1"/>
    <w:rsid w:val="00A1510D"/>
    <w:rsid w:val="00A1554C"/>
    <w:rsid w:val="00A276B6"/>
    <w:rsid w:val="00A32638"/>
    <w:rsid w:val="00A416A0"/>
    <w:rsid w:val="00A41FE1"/>
    <w:rsid w:val="00A420AE"/>
    <w:rsid w:val="00A43C47"/>
    <w:rsid w:val="00A44AB8"/>
    <w:rsid w:val="00A527F0"/>
    <w:rsid w:val="00A52CD5"/>
    <w:rsid w:val="00A537A3"/>
    <w:rsid w:val="00A55928"/>
    <w:rsid w:val="00A6400D"/>
    <w:rsid w:val="00A64865"/>
    <w:rsid w:val="00A8534F"/>
    <w:rsid w:val="00A90C50"/>
    <w:rsid w:val="00A94D69"/>
    <w:rsid w:val="00AB3FC9"/>
    <w:rsid w:val="00AB5206"/>
    <w:rsid w:val="00AB5C7D"/>
    <w:rsid w:val="00AB636F"/>
    <w:rsid w:val="00AD12F8"/>
    <w:rsid w:val="00AD1CAE"/>
    <w:rsid w:val="00AE474B"/>
    <w:rsid w:val="00AF0159"/>
    <w:rsid w:val="00AF0FC3"/>
    <w:rsid w:val="00AF50EF"/>
    <w:rsid w:val="00B02C7D"/>
    <w:rsid w:val="00B06F64"/>
    <w:rsid w:val="00B161B3"/>
    <w:rsid w:val="00B174F6"/>
    <w:rsid w:val="00B22881"/>
    <w:rsid w:val="00B262B6"/>
    <w:rsid w:val="00B31006"/>
    <w:rsid w:val="00B31360"/>
    <w:rsid w:val="00B34F23"/>
    <w:rsid w:val="00B35E69"/>
    <w:rsid w:val="00B36A2E"/>
    <w:rsid w:val="00B3752F"/>
    <w:rsid w:val="00B43413"/>
    <w:rsid w:val="00B5015A"/>
    <w:rsid w:val="00B56600"/>
    <w:rsid w:val="00B63E83"/>
    <w:rsid w:val="00B735F5"/>
    <w:rsid w:val="00B73A96"/>
    <w:rsid w:val="00B80C63"/>
    <w:rsid w:val="00B957A3"/>
    <w:rsid w:val="00BA0E6A"/>
    <w:rsid w:val="00BC2570"/>
    <w:rsid w:val="00BC2D72"/>
    <w:rsid w:val="00BD4DF4"/>
    <w:rsid w:val="00BE0536"/>
    <w:rsid w:val="00BE18F8"/>
    <w:rsid w:val="00BE6CD6"/>
    <w:rsid w:val="00BE76FE"/>
    <w:rsid w:val="00C002DF"/>
    <w:rsid w:val="00C02E17"/>
    <w:rsid w:val="00C0370C"/>
    <w:rsid w:val="00C04418"/>
    <w:rsid w:val="00C069BA"/>
    <w:rsid w:val="00C25487"/>
    <w:rsid w:val="00C2645E"/>
    <w:rsid w:val="00C358D4"/>
    <w:rsid w:val="00C42BDD"/>
    <w:rsid w:val="00C4366D"/>
    <w:rsid w:val="00C44361"/>
    <w:rsid w:val="00C45CF8"/>
    <w:rsid w:val="00C52897"/>
    <w:rsid w:val="00C65198"/>
    <w:rsid w:val="00C73C45"/>
    <w:rsid w:val="00C75269"/>
    <w:rsid w:val="00C772C5"/>
    <w:rsid w:val="00C7786E"/>
    <w:rsid w:val="00C8510F"/>
    <w:rsid w:val="00C8748F"/>
    <w:rsid w:val="00C87BB4"/>
    <w:rsid w:val="00C97063"/>
    <w:rsid w:val="00CA2CB3"/>
    <w:rsid w:val="00CA3787"/>
    <w:rsid w:val="00CB0B38"/>
    <w:rsid w:val="00CB43A0"/>
    <w:rsid w:val="00CB699F"/>
    <w:rsid w:val="00CC1D51"/>
    <w:rsid w:val="00CC1F3A"/>
    <w:rsid w:val="00CC38AF"/>
    <w:rsid w:val="00CD7025"/>
    <w:rsid w:val="00CE0070"/>
    <w:rsid w:val="00CE2FC4"/>
    <w:rsid w:val="00CF1990"/>
    <w:rsid w:val="00CF2C47"/>
    <w:rsid w:val="00CF3B57"/>
    <w:rsid w:val="00D02EF9"/>
    <w:rsid w:val="00D13686"/>
    <w:rsid w:val="00D15FB9"/>
    <w:rsid w:val="00D17739"/>
    <w:rsid w:val="00D17F52"/>
    <w:rsid w:val="00D222B6"/>
    <w:rsid w:val="00D3295A"/>
    <w:rsid w:val="00D340C0"/>
    <w:rsid w:val="00D4370A"/>
    <w:rsid w:val="00D44B57"/>
    <w:rsid w:val="00D52B22"/>
    <w:rsid w:val="00D52EB2"/>
    <w:rsid w:val="00D56EE7"/>
    <w:rsid w:val="00D57D83"/>
    <w:rsid w:val="00D6255D"/>
    <w:rsid w:val="00D62D7A"/>
    <w:rsid w:val="00D644D8"/>
    <w:rsid w:val="00D742CB"/>
    <w:rsid w:val="00D80BBE"/>
    <w:rsid w:val="00D84777"/>
    <w:rsid w:val="00D906DC"/>
    <w:rsid w:val="00D90FC6"/>
    <w:rsid w:val="00D928AB"/>
    <w:rsid w:val="00D93EDA"/>
    <w:rsid w:val="00D97C87"/>
    <w:rsid w:val="00DA6018"/>
    <w:rsid w:val="00DB5EAC"/>
    <w:rsid w:val="00DB6A9E"/>
    <w:rsid w:val="00DC4231"/>
    <w:rsid w:val="00DC5E11"/>
    <w:rsid w:val="00DC71A6"/>
    <w:rsid w:val="00DD56FA"/>
    <w:rsid w:val="00DD5CEC"/>
    <w:rsid w:val="00DE2CF9"/>
    <w:rsid w:val="00DE4705"/>
    <w:rsid w:val="00E04051"/>
    <w:rsid w:val="00E144D5"/>
    <w:rsid w:val="00E15EC3"/>
    <w:rsid w:val="00E23D03"/>
    <w:rsid w:val="00E32DB6"/>
    <w:rsid w:val="00E366DA"/>
    <w:rsid w:val="00E372CD"/>
    <w:rsid w:val="00E415E6"/>
    <w:rsid w:val="00E41E4B"/>
    <w:rsid w:val="00E45D83"/>
    <w:rsid w:val="00E463D4"/>
    <w:rsid w:val="00E4797D"/>
    <w:rsid w:val="00E5014F"/>
    <w:rsid w:val="00E711DA"/>
    <w:rsid w:val="00E71F25"/>
    <w:rsid w:val="00E75D6F"/>
    <w:rsid w:val="00E75EBB"/>
    <w:rsid w:val="00E836A5"/>
    <w:rsid w:val="00E94430"/>
    <w:rsid w:val="00EA059C"/>
    <w:rsid w:val="00EB075E"/>
    <w:rsid w:val="00EB25DD"/>
    <w:rsid w:val="00EB361F"/>
    <w:rsid w:val="00EC6406"/>
    <w:rsid w:val="00EE1B9B"/>
    <w:rsid w:val="00EE5DA0"/>
    <w:rsid w:val="00EF4463"/>
    <w:rsid w:val="00EF45FB"/>
    <w:rsid w:val="00F015A3"/>
    <w:rsid w:val="00F17F2D"/>
    <w:rsid w:val="00F24CAC"/>
    <w:rsid w:val="00F26864"/>
    <w:rsid w:val="00F3170E"/>
    <w:rsid w:val="00F40FB9"/>
    <w:rsid w:val="00F51C86"/>
    <w:rsid w:val="00F52583"/>
    <w:rsid w:val="00F54982"/>
    <w:rsid w:val="00F60F13"/>
    <w:rsid w:val="00F6229E"/>
    <w:rsid w:val="00F62C46"/>
    <w:rsid w:val="00F62C5C"/>
    <w:rsid w:val="00F81814"/>
    <w:rsid w:val="00F84C21"/>
    <w:rsid w:val="00F9163C"/>
    <w:rsid w:val="00F91DA2"/>
    <w:rsid w:val="00FA2499"/>
    <w:rsid w:val="00FB51DD"/>
    <w:rsid w:val="00FB7FE4"/>
    <w:rsid w:val="00FC05AE"/>
    <w:rsid w:val="00FC4933"/>
    <w:rsid w:val="00FD1BE5"/>
    <w:rsid w:val="00FD5F8B"/>
    <w:rsid w:val="00FD6FB6"/>
    <w:rsid w:val="00FE2D01"/>
    <w:rsid w:val="00FE4016"/>
    <w:rsid w:val="00FE7A5A"/>
    <w:rsid w:val="00FF2035"/>
    <w:rsid w:val="00FF6266"/>
  </w:rsids>
  <m:mathPr>
    <m:mathFont m:val="Cambria Math"/>
    <m:brkBin m:val="before"/>
    <m:brkBinSub m:val="--"/>
    <m:smallFrac/>
    <m:dispDef/>
    <m:lMargin m:val="0"/>
    <m:rMargin m:val="0"/>
    <m:defJc m:val="centerGroup"/>
    <m:wrapIndent m:val="1440"/>
    <m:intLim m:val="subSup"/>
    <m:naryLim m:val="undOvr"/>
  </m:mathPr>
  <w:attachedSchema w:val="urn:schemas-microsoft-com:office:smarttags"/>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等线" w:eastAsia="等线" w:hAnsi="等线" w:cs="Times New Roman"/>
        <w:lang w:val="en-US" w:eastAsia="zh-CN"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header" w:uiPriority="0"/>
    <w:lsdException w:name="footer" w:uiPriority="0"/>
    <w:lsdException w:name="caption" w:uiPriority="35" w:qFormat="1"/>
    <w:lsdException w:name="footnote reference" w:uiPriority="0"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
    <w:name w:val="Normal"/>
    <w:qFormat/>
    <w:rsid w:val="00BD4DF4"/>
    <w:pPr>
      <w:widowControl w:val="0"/>
      <w:jc w:val="both"/>
    </w:pPr>
    <w:rPr>
      <w:rFonts w:ascii="Times New Roman" w:eastAsia="宋体" w:hAnsi="Times New Roman"/>
      <w:kern w:val="2"/>
      <w:sz w:val="21"/>
      <w:szCs w:val="24"/>
    </w:rPr>
  </w:style>
  <w:style w:type="paragraph" w:styleId="1">
    <w:name w:val="heading 1"/>
    <w:basedOn w:val="a0"/>
    <w:next w:val="a"/>
    <w:link w:val="1Char"/>
    <w:uiPriority w:val="99"/>
    <w:qFormat/>
    <w:locked/>
    <w:rsid w:val="00E711DA"/>
    <w:pPr>
      <w:outlineLvl w:val="0"/>
    </w:pPr>
  </w:style>
  <w:style w:type="paragraph" w:styleId="2">
    <w:name w:val="heading 2"/>
    <w:basedOn w:val="a1"/>
    <w:next w:val="a"/>
    <w:link w:val="2Char"/>
    <w:uiPriority w:val="99"/>
    <w:qFormat/>
    <w:locked/>
    <w:rsid w:val="00E711DA"/>
    <w:pPr>
      <w:outlineLvl w:val="1"/>
    </w:p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Heading1Char">
    <w:name w:val="Heading 1 Char"/>
    <w:uiPriority w:val="99"/>
    <w:locked/>
    <w:rsid w:val="003B33DB"/>
    <w:rPr>
      <w:rFonts w:ascii="Times New Roman" w:eastAsia="宋体" w:hAnsi="Times New Roman" w:cs="Times New Roman"/>
      <w:b/>
      <w:bCs/>
      <w:kern w:val="44"/>
      <w:sz w:val="44"/>
      <w:szCs w:val="44"/>
    </w:rPr>
  </w:style>
  <w:style w:type="character" w:customStyle="1" w:styleId="Heading2Char">
    <w:name w:val="Heading 2 Char"/>
    <w:uiPriority w:val="99"/>
    <w:semiHidden/>
    <w:locked/>
    <w:rsid w:val="003B33DB"/>
    <w:rPr>
      <w:rFonts w:ascii="Cambria" w:eastAsia="宋体" w:hAnsi="Cambria" w:cs="Times New Roman"/>
      <w:b/>
      <w:bCs/>
      <w:sz w:val="32"/>
      <w:szCs w:val="32"/>
    </w:rPr>
  </w:style>
  <w:style w:type="paragraph" w:styleId="a5">
    <w:name w:val="footer"/>
    <w:basedOn w:val="a"/>
    <w:link w:val="Char"/>
    <w:rsid w:val="00BD4DF4"/>
    <w:pPr>
      <w:tabs>
        <w:tab w:val="center" w:pos="4153"/>
        <w:tab w:val="right" w:pos="8306"/>
      </w:tabs>
      <w:snapToGrid w:val="0"/>
      <w:jc w:val="left"/>
    </w:pPr>
    <w:rPr>
      <w:sz w:val="18"/>
      <w:szCs w:val="18"/>
    </w:rPr>
  </w:style>
  <w:style w:type="character" w:customStyle="1" w:styleId="Char">
    <w:name w:val="页脚 Char"/>
    <w:link w:val="a5"/>
    <w:uiPriority w:val="99"/>
    <w:locked/>
    <w:rsid w:val="00BD4DF4"/>
    <w:rPr>
      <w:rFonts w:ascii="Times New Roman" w:eastAsia="宋体" w:hAnsi="Times New Roman" w:cs="Times New Roman"/>
      <w:sz w:val="18"/>
      <w:szCs w:val="18"/>
    </w:rPr>
  </w:style>
  <w:style w:type="character" w:styleId="a6">
    <w:name w:val="page number"/>
    <w:rsid w:val="00BD4DF4"/>
    <w:rPr>
      <w:rFonts w:cs="Times New Roman"/>
    </w:rPr>
  </w:style>
  <w:style w:type="paragraph" w:styleId="a7">
    <w:name w:val="footnote text"/>
    <w:basedOn w:val="a"/>
    <w:link w:val="Char0"/>
    <w:qFormat/>
    <w:rsid w:val="00BD4DF4"/>
    <w:pPr>
      <w:snapToGrid w:val="0"/>
      <w:jc w:val="left"/>
    </w:pPr>
    <w:rPr>
      <w:sz w:val="18"/>
      <w:szCs w:val="18"/>
    </w:rPr>
  </w:style>
  <w:style w:type="character" w:customStyle="1" w:styleId="Char0">
    <w:name w:val="脚注文本 Char"/>
    <w:link w:val="a7"/>
    <w:qFormat/>
    <w:locked/>
    <w:rsid w:val="00BD4DF4"/>
    <w:rPr>
      <w:rFonts w:ascii="Times New Roman" w:eastAsia="宋体" w:hAnsi="Times New Roman" w:cs="Times New Roman"/>
      <w:sz w:val="18"/>
      <w:szCs w:val="18"/>
    </w:rPr>
  </w:style>
  <w:style w:type="character" w:styleId="a8">
    <w:name w:val="footnote reference"/>
    <w:qFormat/>
    <w:rsid w:val="00BD4DF4"/>
    <w:rPr>
      <w:rFonts w:cs="Times New Roman"/>
      <w:vertAlign w:val="superscript"/>
    </w:rPr>
  </w:style>
  <w:style w:type="character" w:styleId="a9">
    <w:name w:val="Strong"/>
    <w:uiPriority w:val="22"/>
    <w:qFormat/>
    <w:rsid w:val="00BD4DF4"/>
    <w:rPr>
      <w:rFonts w:cs="Times New Roman"/>
      <w:b/>
      <w:bCs/>
    </w:rPr>
  </w:style>
  <w:style w:type="paragraph" w:customStyle="1" w:styleId="Char1CharCharCharCharCharChar">
    <w:name w:val="Char1 Char Char Char Char Char Char"/>
    <w:basedOn w:val="a"/>
    <w:uiPriority w:val="99"/>
    <w:rsid w:val="00A94D69"/>
    <w:rPr>
      <w:szCs w:val="20"/>
    </w:rPr>
  </w:style>
  <w:style w:type="paragraph" w:styleId="aa">
    <w:name w:val="header"/>
    <w:basedOn w:val="a"/>
    <w:link w:val="Char1"/>
    <w:rsid w:val="0090552D"/>
    <w:pPr>
      <w:pBdr>
        <w:bottom w:val="single" w:sz="6" w:space="1" w:color="auto"/>
      </w:pBdr>
      <w:tabs>
        <w:tab w:val="center" w:pos="4153"/>
        <w:tab w:val="right" w:pos="8306"/>
      </w:tabs>
      <w:snapToGrid w:val="0"/>
      <w:jc w:val="center"/>
    </w:pPr>
    <w:rPr>
      <w:sz w:val="18"/>
      <w:szCs w:val="18"/>
    </w:rPr>
  </w:style>
  <w:style w:type="character" w:customStyle="1" w:styleId="Char1">
    <w:name w:val="页眉 Char"/>
    <w:link w:val="aa"/>
    <w:locked/>
    <w:rsid w:val="0090552D"/>
    <w:rPr>
      <w:rFonts w:ascii="Times New Roman" w:eastAsia="宋体" w:hAnsi="Times New Roman" w:cs="Times New Roman"/>
      <w:sz w:val="18"/>
      <w:szCs w:val="18"/>
    </w:rPr>
  </w:style>
  <w:style w:type="paragraph" w:styleId="ab">
    <w:name w:val="Balloon Text"/>
    <w:basedOn w:val="a"/>
    <w:link w:val="Char2"/>
    <w:uiPriority w:val="99"/>
    <w:semiHidden/>
    <w:rsid w:val="00963D60"/>
    <w:rPr>
      <w:sz w:val="18"/>
      <w:szCs w:val="18"/>
    </w:rPr>
  </w:style>
  <w:style w:type="character" w:customStyle="1" w:styleId="Char2">
    <w:name w:val="批注框文本 Char"/>
    <w:link w:val="ab"/>
    <w:uiPriority w:val="99"/>
    <w:semiHidden/>
    <w:locked/>
    <w:rsid w:val="00963D60"/>
    <w:rPr>
      <w:rFonts w:ascii="Times New Roman" w:eastAsia="宋体" w:hAnsi="Times New Roman" w:cs="Times New Roman"/>
      <w:sz w:val="18"/>
      <w:szCs w:val="18"/>
    </w:rPr>
  </w:style>
  <w:style w:type="paragraph" w:customStyle="1" w:styleId="Char1CharCharCharCharCharChar1">
    <w:name w:val="Char1 Char Char Char Char Char Char1"/>
    <w:basedOn w:val="a"/>
    <w:uiPriority w:val="99"/>
    <w:rsid w:val="00E711DA"/>
    <w:rPr>
      <w:szCs w:val="20"/>
    </w:rPr>
  </w:style>
  <w:style w:type="character" w:customStyle="1" w:styleId="CharChar2">
    <w:name w:val="Char Char2"/>
    <w:uiPriority w:val="99"/>
    <w:rsid w:val="00E711DA"/>
    <w:rPr>
      <w:rFonts w:eastAsia="宋体"/>
      <w:kern w:val="2"/>
      <w:sz w:val="18"/>
    </w:rPr>
  </w:style>
  <w:style w:type="paragraph" w:customStyle="1" w:styleId="CharChar4">
    <w:name w:val="Char Char4"/>
    <w:basedOn w:val="a"/>
    <w:uiPriority w:val="99"/>
    <w:rsid w:val="00E711DA"/>
    <w:pPr>
      <w:spacing w:line="240" w:lineRule="atLeast"/>
      <w:ind w:left="420" w:firstLine="420"/>
    </w:pPr>
    <w:rPr>
      <w:kern w:val="0"/>
      <w:szCs w:val="21"/>
    </w:rPr>
  </w:style>
  <w:style w:type="paragraph" w:styleId="10">
    <w:name w:val="toc 1"/>
    <w:basedOn w:val="a"/>
    <w:next w:val="a"/>
    <w:autoRedefine/>
    <w:uiPriority w:val="39"/>
    <w:locked/>
    <w:rsid w:val="00E711DA"/>
    <w:pPr>
      <w:tabs>
        <w:tab w:val="right" w:leader="dot" w:pos="9060"/>
      </w:tabs>
      <w:adjustRightInd w:val="0"/>
      <w:snapToGrid w:val="0"/>
      <w:spacing w:line="520" w:lineRule="exact"/>
    </w:pPr>
    <w:rPr>
      <w:rFonts w:ascii="仿宋_GB2312" w:eastAsia="仿宋_GB2312" w:hAnsi="仿宋"/>
      <w:noProof/>
      <w:sz w:val="30"/>
      <w:szCs w:val="30"/>
    </w:rPr>
  </w:style>
  <w:style w:type="character" w:styleId="ac">
    <w:name w:val="Hyperlink"/>
    <w:uiPriority w:val="99"/>
    <w:rsid w:val="00E711DA"/>
    <w:rPr>
      <w:rFonts w:cs="Times New Roman"/>
      <w:color w:val="0563C1"/>
      <w:u w:val="single"/>
    </w:rPr>
  </w:style>
  <w:style w:type="character" w:customStyle="1" w:styleId="1Char">
    <w:name w:val="标题 1 Char"/>
    <w:link w:val="1"/>
    <w:uiPriority w:val="99"/>
    <w:locked/>
    <w:rsid w:val="00E711DA"/>
    <w:rPr>
      <w:rFonts w:ascii="黑体" w:eastAsia="黑体" w:hAnsi="黑体" w:cs="Times New Roman"/>
      <w:kern w:val="2"/>
      <w:sz w:val="30"/>
      <w:szCs w:val="30"/>
      <w:lang w:val="en-US" w:eastAsia="zh-CN" w:bidi="ar-SA"/>
    </w:rPr>
  </w:style>
  <w:style w:type="character" w:customStyle="1" w:styleId="2Char">
    <w:name w:val="标题 2 Char"/>
    <w:link w:val="2"/>
    <w:uiPriority w:val="99"/>
    <w:locked/>
    <w:rsid w:val="00E711DA"/>
    <w:rPr>
      <w:rFonts w:ascii="仿宋_GB2312" w:eastAsia="仿宋_GB2312" w:cs="Times New Roman"/>
      <w:kern w:val="2"/>
      <w:sz w:val="30"/>
      <w:szCs w:val="30"/>
      <w:lang w:val="en-US" w:eastAsia="zh-CN" w:bidi="ar-SA"/>
    </w:rPr>
  </w:style>
  <w:style w:type="paragraph" w:customStyle="1" w:styleId="11">
    <w:name w:val="样式1"/>
    <w:basedOn w:val="a"/>
    <w:link w:val="1Char0"/>
    <w:uiPriority w:val="99"/>
    <w:rsid w:val="00E711DA"/>
    <w:pPr>
      <w:adjustRightInd w:val="0"/>
      <w:snapToGrid w:val="0"/>
      <w:spacing w:line="520" w:lineRule="exact"/>
    </w:pPr>
    <w:rPr>
      <w:rFonts w:ascii="黑体" w:eastAsia="黑体" w:hAnsi="黑体"/>
      <w:sz w:val="30"/>
      <w:szCs w:val="30"/>
    </w:rPr>
  </w:style>
  <w:style w:type="paragraph" w:customStyle="1" w:styleId="20">
    <w:name w:val="样式2"/>
    <w:basedOn w:val="a"/>
    <w:link w:val="2Char0"/>
    <w:uiPriority w:val="99"/>
    <w:rsid w:val="00E711DA"/>
    <w:pPr>
      <w:adjustRightInd w:val="0"/>
      <w:snapToGrid w:val="0"/>
      <w:spacing w:line="520" w:lineRule="exact"/>
    </w:pPr>
    <w:rPr>
      <w:rFonts w:ascii="仿宋_GB2312" w:eastAsia="仿宋_GB2312"/>
      <w:sz w:val="30"/>
      <w:szCs w:val="30"/>
    </w:rPr>
  </w:style>
  <w:style w:type="character" w:customStyle="1" w:styleId="1Char0">
    <w:name w:val="样式1 Char"/>
    <w:link w:val="11"/>
    <w:uiPriority w:val="99"/>
    <w:locked/>
    <w:rsid w:val="00E711DA"/>
    <w:rPr>
      <w:rFonts w:ascii="黑体" w:eastAsia="黑体" w:hAnsi="黑体" w:cs="Times New Roman"/>
      <w:kern w:val="2"/>
      <w:sz w:val="30"/>
      <w:szCs w:val="30"/>
      <w:lang w:val="en-US" w:eastAsia="zh-CN" w:bidi="ar-SA"/>
    </w:rPr>
  </w:style>
  <w:style w:type="paragraph" w:styleId="a0">
    <w:name w:val="Title"/>
    <w:basedOn w:val="11"/>
    <w:next w:val="a"/>
    <w:link w:val="Char3"/>
    <w:uiPriority w:val="99"/>
    <w:qFormat/>
    <w:locked/>
    <w:rsid w:val="00E711DA"/>
  </w:style>
  <w:style w:type="character" w:customStyle="1" w:styleId="TitleChar">
    <w:name w:val="Title Char"/>
    <w:uiPriority w:val="99"/>
    <w:locked/>
    <w:rsid w:val="003B33DB"/>
    <w:rPr>
      <w:rFonts w:ascii="Cambria" w:eastAsia="宋体" w:hAnsi="Cambria" w:cs="Times New Roman"/>
      <w:b/>
      <w:bCs/>
      <w:sz w:val="32"/>
      <w:szCs w:val="32"/>
    </w:rPr>
  </w:style>
  <w:style w:type="character" w:customStyle="1" w:styleId="2Char0">
    <w:name w:val="样式2 Char"/>
    <w:link w:val="20"/>
    <w:uiPriority w:val="99"/>
    <w:locked/>
    <w:rsid w:val="00E711DA"/>
    <w:rPr>
      <w:rFonts w:ascii="仿宋_GB2312" w:eastAsia="仿宋_GB2312" w:cs="Times New Roman"/>
      <w:kern w:val="2"/>
      <w:sz w:val="30"/>
      <w:szCs w:val="30"/>
      <w:lang w:val="en-US" w:eastAsia="zh-CN" w:bidi="ar-SA"/>
    </w:rPr>
  </w:style>
  <w:style w:type="character" w:customStyle="1" w:styleId="Char3">
    <w:name w:val="标题 Char"/>
    <w:link w:val="a0"/>
    <w:uiPriority w:val="99"/>
    <w:locked/>
    <w:rsid w:val="00E711DA"/>
    <w:rPr>
      <w:rFonts w:ascii="黑体" w:eastAsia="黑体" w:hAnsi="黑体" w:cs="Times New Roman"/>
      <w:kern w:val="2"/>
      <w:sz w:val="30"/>
      <w:szCs w:val="30"/>
      <w:lang w:val="en-US" w:eastAsia="zh-CN" w:bidi="ar-SA"/>
    </w:rPr>
  </w:style>
  <w:style w:type="paragraph" w:styleId="a1">
    <w:name w:val="Subtitle"/>
    <w:basedOn w:val="20"/>
    <w:next w:val="a"/>
    <w:link w:val="Char4"/>
    <w:uiPriority w:val="99"/>
    <w:qFormat/>
    <w:locked/>
    <w:rsid w:val="00E711DA"/>
  </w:style>
  <w:style w:type="character" w:customStyle="1" w:styleId="SubtitleChar">
    <w:name w:val="Subtitle Char"/>
    <w:uiPriority w:val="99"/>
    <w:locked/>
    <w:rsid w:val="003B33DB"/>
    <w:rPr>
      <w:rFonts w:ascii="Cambria" w:eastAsia="宋体" w:hAnsi="Cambria" w:cs="Times New Roman"/>
      <w:b/>
      <w:bCs/>
      <w:kern w:val="28"/>
      <w:sz w:val="32"/>
      <w:szCs w:val="32"/>
    </w:rPr>
  </w:style>
  <w:style w:type="character" w:customStyle="1" w:styleId="Char4">
    <w:name w:val="副标题 Char"/>
    <w:link w:val="a1"/>
    <w:uiPriority w:val="99"/>
    <w:locked/>
    <w:rsid w:val="00E711DA"/>
    <w:rPr>
      <w:rFonts w:ascii="仿宋_GB2312" w:eastAsia="仿宋_GB2312" w:cs="Times New Roman"/>
      <w:kern w:val="2"/>
      <w:sz w:val="30"/>
      <w:szCs w:val="30"/>
      <w:lang w:val="en-US" w:eastAsia="zh-CN" w:bidi="ar-SA"/>
    </w:rPr>
  </w:style>
  <w:style w:type="paragraph" w:customStyle="1" w:styleId="TOC1">
    <w:name w:val="TOC 标题1"/>
    <w:basedOn w:val="1"/>
    <w:next w:val="a"/>
    <w:uiPriority w:val="99"/>
    <w:semiHidden/>
    <w:rsid w:val="00E711DA"/>
    <w:pPr>
      <w:keepNext/>
      <w:keepLines/>
      <w:widowControl/>
      <w:adjustRightInd/>
      <w:snapToGrid/>
      <w:spacing w:before="480" w:line="276" w:lineRule="auto"/>
      <w:jc w:val="left"/>
      <w:outlineLvl w:val="9"/>
    </w:pPr>
    <w:rPr>
      <w:rFonts w:ascii="Cambria" w:eastAsia="宋体" w:hAnsi="Cambria"/>
      <w:color w:val="365F91"/>
      <w:kern w:val="0"/>
      <w:sz w:val="28"/>
      <w:szCs w:val="28"/>
    </w:rPr>
  </w:style>
  <w:style w:type="paragraph" w:styleId="21">
    <w:name w:val="toc 2"/>
    <w:basedOn w:val="a"/>
    <w:next w:val="a"/>
    <w:autoRedefine/>
    <w:uiPriority w:val="99"/>
    <w:locked/>
    <w:rsid w:val="00E711DA"/>
    <w:pPr>
      <w:ind w:leftChars="200" w:left="420"/>
    </w:pPr>
  </w:style>
  <w:style w:type="character" w:styleId="ad">
    <w:name w:val="FollowedHyperlink"/>
    <w:uiPriority w:val="99"/>
    <w:rsid w:val="00E711DA"/>
    <w:rPr>
      <w:rFonts w:cs="Times New Roman"/>
      <w:color w:val="800080"/>
      <w:u w:val="single"/>
    </w:rPr>
  </w:style>
  <w:style w:type="paragraph" w:customStyle="1" w:styleId="Char1CharCharCharCharCharChar0">
    <w:name w:val="Char1 Char Char Char Char Char Char"/>
    <w:basedOn w:val="a"/>
    <w:rsid w:val="00824208"/>
    <w:rPr>
      <w:szCs w:val="20"/>
    </w:rPr>
  </w:style>
  <w:style w:type="paragraph" w:customStyle="1" w:styleId="CharChar40">
    <w:name w:val="Char Char4"/>
    <w:basedOn w:val="a"/>
    <w:rsid w:val="00824208"/>
    <w:pPr>
      <w:spacing w:line="240" w:lineRule="atLeast"/>
      <w:ind w:left="420" w:firstLine="420"/>
    </w:pPr>
    <w:rPr>
      <w:kern w:val="0"/>
      <w:szCs w:val="21"/>
    </w:rPr>
  </w:style>
</w:styles>
</file>

<file path=word/webSettings.xml><?xml version="1.0" encoding="utf-8"?>
<w:webSettings xmlns:r="http://schemas.openxmlformats.org/officeDocument/2006/relationships" xmlns:w="http://schemas.openxmlformats.org/wordprocessingml/2006/main">
  <w:divs>
    <w:div w:id="2123642929">
      <w:marLeft w:val="0"/>
      <w:marRight w:val="0"/>
      <w:marTop w:val="0"/>
      <w:marBottom w:val="0"/>
      <w:divBdr>
        <w:top w:val="none" w:sz="0" w:space="0" w:color="auto"/>
        <w:left w:val="none" w:sz="0" w:space="0" w:color="auto"/>
        <w:bottom w:val="none" w:sz="0" w:space="0" w:color="auto"/>
        <w:right w:val="none" w:sz="0" w:space="0" w:color="auto"/>
      </w:divBdr>
    </w:div>
    <w:div w:id="2123642930">
      <w:marLeft w:val="0"/>
      <w:marRight w:val="0"/>
      <w:marTop w:val="0"/>
      <w:marBottom w:val="0"/>
      <w:divBdr>
        <w:top w:val="none" w:sz="0" w:space="0" w:color="auto"/>
        <w:left w:val="none" w:sz="0" w:space="0" w:color="auto"/>
        <w:bottom w:val="none" w:sz="0" w:space="0" w:color="auto"/>
        <w:right w:val="none" w:sz="0" w:space="0" w:color="auto"/>
      </w:divBdr>
    </w:div>
    <w:div w:id="2123642931">
      <w:marLeft w:val="0"/>
      <w:marRight w:val="0"/>
      <w:marTop w:val="0"/>
      <w:marBottom w:val="0"/>
      <w:divBdr>
        <w:top w:val="none" w:sz="0" w:space="0" w:color="auto"/>
        <w:left w:val="none" w:sz="0" w:space="0" w:color="auto"/>
        <w:bottom w:val="none" w:sz="0" w:space="0" w:color="auto"/>
        <w:right w:val="none" w:sz="0" w:space="0" w:color="auto"/>
      </w:divBdr>
    </w:div>
    <w:div w:id="2123642932">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jpeg"/><Relationship Id="rId18" Type="http://schemas.openxmlformats.org/officeDocument/2006/relationships/image" Target="media/image8.png"/><Relationship Id="rId26" Type="http://schemas.openxmlformats.org/officeDocument/2006/relationships/image" Target="media/image15.jpeg"/><Relationship Id="rId3" Type="http://schemas.openxmlformats.org/officeDocument/2006/relationships/settings" Target="settings.xml"/><Relationship Id="rId21" Type="http://schemas.openxmlformats.org/officeDocument/2006/relationships/image" Target="media/image10.png"/><Relationship Id="rId7" Type="http://schemas.openxmlformats.org/officeDocument/2006/relationships/header" Target="header1.xml"/><Relationship Id="rId12" Type="http://schemas.openxmlformats.org/officeDocument/2006/relationships/image" Target="media/image3.jpeg"/><Relationship Id="rId17" Type="http://schemas.openxmlformats.org/officeDocument/2006/relationships/oleObject" Target="embeddings/oleObject1.bin"/><Relationship Id="rId25" Type="http://schemas.openxmlformats.org/officeDocument/2006/relationships/image" Target="media/image14.jpeg"/><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image" Target="media/image9.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2.jpeg"/><Relationship Id="rId24" Type="http://schemas.openxmlformats.org/officeDocument/2006/relationships/image" Target="media/image13.jpeg"/><Relationship Id="rId5"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12.jpeg"/><Relationship Id="rId28" Type="http://schemas.openxmlformats.org/officeDocument/2006/relationships/fontTable" Target="fontTable.xml"/><Relationship Id="rId10" Type="http://schemas.openxmlformats.org/officeDocument/2006/relationships/image" Target="media/image1.jpeg"/><Relationship Id="rId19" Type="http://schemas.openxmlformats.org/officeDocument/2006/relationships/oleObject" Target="embeddings/oleObject2.bin"/><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image" Target="media/image5.jpeg"/><Relationship Id="rId22" Type="http://schemas.openxmlformats.org/officeDocument/2006/relationships/image" Target="media/image11.png"/><Relationship Id="rId27"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56D786-75D3-45C9-A069-CCAB2F2DF5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188</Pages>
  <Words>38678</Words>
  <Characters>220471</Characters>
  <Application>Microsoft Office Word</Application>
  <DocSecurity>0</DocSecurity>
  <Lines>1837</Lines>
  <Paragraphs>517</Paragraphs>
  <ScaleCrop>false</ScaleCrop>
  <Company/>
  <LinksUpToDate>false</LinksUpToDate>
  <CharactersWithSpaces>258632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毛 豆</dc:creator>
  <cp:lastModifiedBy>李馨</cp:lastModifiedBy>
  <cp:revision>7</cp:revision>
  <cp:lastPrinted>2020-03-25T08:45:00Z</cp:lastPrinted>
  <dcterms:created xsi:type="dcterms:W3CDTF">2020-04-23T06:54:00Z</dcterms:created>
  <dcterms:modified xsi:type="dcterms:W3CDTF">2020-04-23T07:07:00Z</dcterms:modified>
</cp:coreProperties>
</file>