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ind w:firstLine="0"/>
        <w:jc w:val="center"/>
        <w:rPr>
          <w:rFonts w:hint="eastAsia" w:ascii="宋体" w:hAnsi="宋体" w:eastAsia="方正小标宋_GBK"/>
          <w:sz w:val="44"/>
          <w:szCs w:val="44"/>
        </w:rPr>
      </w:pPr>
    </w:p>
    <w:p>
      <w:pPr>
        <w:spacing w:line="590" w:lineRule="exact"/>
        <w:ind w:firstLine="0"/>
        <w:jc w:val="center"/>
        <w:rPr>
          <w:rFonts w:ascii="宋体" w:hAnsi="宋体" w:eastAsia="方正小标宋_GBK"/>
          <w:sz w:val="44"/>
          <w:szCs w:val="44"/>
        </w:rPr>
      </w:pPr>
      <w:r>
        <w:rPr>
          <w:rFonts w:hint="eastAsia" w:ascii="宋体" w:hAnsi="宋体" w:eastAsia="方正小标宋_GBK"/>
          <w:sz w:val="44"/>
          <w:szCs w:val="44"/>
        </w:rPr>
        <w:t>江苏省商标代理行业专项整治行动实施方案</w:t>
      </w:r>
    </w:p>
    <w:p>
      <w:pPr>
        <w:spacing w:line="590" w:lineRule="exact"/>
        <w:ind w:firstLine="632" w:firstLineChars="200"/>
        <w:rPr>
          <w:rFonts w:ascii="宋体" w:hAnsi="宋体"/>
        </w:rPr>
      </w:pPr>
    </w:p>
    <w:p>
      <w:pPr>
        <w:spacing w:line="590" w:lineRule="exact"/>
        <w:ind w:firstLine="632" w:firstLineChars="200"/>
        <w:rPr>
          <w:rFonts w:ascii="宋体" w:hAnsi="宋体"/>
        </w:rPr>
      </w:pPr>
      <w:r>
        <w:rPr>
          <w:rFonts w:hint="eastAsia" w:ascii="宋体" w:hAnsi="宋体"/>
        </w:rPr>
        <w:t>为深入贯彻落实党中央、国务院和省委、省政府决策部署，规范商标代理行业秩序，促进知识产权服务业持续健康发展，按照《国家知识产权局 国家市场监督管理总局关于开展商标代理行业专项整治行动的通知》（国知发运字〔2022〕39号）要求，结合我省实际，现提出如下实施方案。</w:t>
      </w:r>
    </w:p>
    <w:p>
      <w:pPr>
        <w:spacing w:line="590" w:lineRule="exact"/>
        <w:ind w:firstLine="632" w:firstLineChars="200"/>
        <w:rPr>
          <w:rFonts w:ascii="宋体" w:hAnsi="宋体" w:eastAsia="方正黑体_GBK"/>
        </w:rPr>
      </w:pPr>
      <w:r>
        <w:rPr>
          <w:rFonts w:hint="eastAsia" w:ascii="宋体" w:hAnsi="宋体" w:eastAsia="方正黑体_GBK"/>
        </w:rPr>
        <w:t>一、总体要求</w:t>
      </w:r>
    </w:p>
    <w:p>
      <w:pPr>
        <w:spacing w:line="590" w:lineRule="exact"/>
        <w:ind w:firstLine="632" w:firstLineChars="200"/>
        <w:rPr>
          <w:rFonts w:ascii="宋体" w:hAnsi="宋体"/>
        </w:rPr>
      </w:pPr>
      <w:r>
        <w:rPr>
          <w:rFonts w:hint="eastAsia" w:ascii="宋体" w:hAnsi="宋体"/>
        </w:rPr>
        <w:t>立足知识产权服务业高质量发展需求，强化知识产权法治保障，聚焦当前商标代理行业发展中存在的突出问题，加强日常监管与执法办案衔接，加大对商标代理违法行为查处力度，集中力量整治代理行业乱象。通过开展专项整治行动，依法严厉查处一批违法代理案件，曝光一批违法代理机构，将有恶劣情形的机构和人员，依法依规纳入严重违法失信名单，切实加大违法成本，营造风清气正的商标代理行业环境，更好地服务知识产权强省和质量强省建设。</w:t>
      </w:r>
    </w:p>
    <w:p>
      <w:pPr>
        <w:spacing w:line="590" w:lineRule="exact"/>
        <w:ind w:firstLine="632" w:firstLineChars="200"/>
        <w:rPr>
          <w:rFonts w:ascii="宋体" w:hAnsi="宋体" w:eastAsia="方正黑体_GBK"/>
        </w:rPr>
      </w:pPr>
      <w:r>
        <w:rPr>
          <w:rFonts w:hint="eastAsia" w:ascii="宋体" w:hAnsi="宋体" w:eastAsia="方正黑体_GBK"/>
        </w:rPr>
        <w:t>二、主要任务</w:t>
      </w:r>
    </w:p>
    <w:p>
      <w:pPr>
        <w:spacing w:line="590" w:lineRule="exact"/>
        <w:ind w:firstLine="632" w:firstLineChars="200"/>
        <w:rPr>
          <w:rFonts w:ascii="宋体" w:hAnsi="宋体"/>
        </w:rPr>
      </w:pPr>
      <w:r>
        <w:rPr>
          <w:rFonts w:hint="eastAsia" w:ascii="宋体" w:hAnsi="宋体" w:eastAsia="方正楷体_GBK"/>
        </w:rPr>
        <w:t>（一）畅通举报投诉渠道，全面收集违法线索。</w:t>
      </w:r>
      <w:r>
        <w:rPr>
          <w:rFonts w:hint="eastAsia" w:ascii="宋体" w:hAnsi="宋体"/>
        </w:rPr>
        <w:t>各地市场监管局（知识产权局）加强对本区域内品牌企业、商标大户、个体工商户、农专合作社等涉商标业务市场主体的走访。公布举报投诉渠道信息，运用12315、12345、局长信箱等公共服务平台，摸排收集伪造申请材料和法律文书、以不正当手段招揽业务、虚假宣称有内部关系、代理恶意抢注和囤积商标等违法线索。对于辖区外的重大违法线索，可逐级上报处理，省知识产权局、省市场监督管理局将加强商标代理违法线索的转办、交办、督办，重点、复杂案件线索将及时上报国家知识产权局和国家市场监督管理总局协调处理。</w:t>
      </w:r>
    </w:p>
    <w:p>
      <w:pPr>
        <w:spacing w:line="590" w:lineRule="exact"/>
        <w:ind w:firstLine="632" w:firstLineChars="200"/>
        <w:rPr>
          <w:rFonts w:ascii="宋体" w:hAnsi="宋体"/>
        </w:rPr>
      </w:pPr>
      <w:r>
        <w:rPr>
          <w:rFonts w:hint="eastAsia" w:ascii="宋体" w:hAnsi="宋体" w:eastAsia="方正楷体_GBK"/>
        </w:rPr>
        <w:t>（二）加大案件查办力度，发挥惩治震慑作用。</w:t>
      </w:r>
      <w:r>
        <w:rPr>
          <w:rFonts w:hint="eastAsia" w:ascii="宋体" w:hAnsi="宋体"/>
        </w:rPr>
        <w:t>各地市场监管局（知识产权局）依照《商标法》《商标法实施条例》《规范商标申请注册行为若干规定》《商标代理监督管理规定》等法律法规及有关规定，依法查处商标代理违法行为，及时将查处情况同时上报省市场监督管理局、省知识产权局。同时，发挥综合执法优势，全面分析违法行为的性质，综合运用《商标法》《广告法》《反不正当竞争法》等依法打击；对于多次违法开展代理业务以及社会广泛关注、公众反映强烈的违法行为，依法加大处罚力度。各设区市市场监管局（知识产权局）要加强案件督办，灵活运用电话、会议、检查、通报等方式，及时掌握办案进展情况。</w:t>
      </w:r>
    </w:p>
    <w:p>
      <w:pPr>
        <w:spacing w:line="590" w:lineRule="exact"/>
        <w:ind w:firstLine="632" w:firstLineChars="200"/>
        <w:rPr>
          <w:rFonts w:ascii="宋体" w:hAnsi="宋体"/>
        </w:rPr>
      </w:pPr>
      <w:r>
        <w:rPr>
          <w:rFonts w:hint="eastAsia" w:ascii="宋体" w:hAnsi="宋体" w:eastAsia="方正楷体_GBK"/>
        </w:rPr>
        <w:t>（三）强化日常监督检查，促进行业规范发展。</w:t>
      </w:r>
      <w:r>
        <w:rPr>
          <w:rFonts w:hint="eastAsia" w:ascii="宋体" w:hAnsi="宋体"/>
        </w:rPr>
        <w:t>各地市场监管局（知识产权局）通过线上线下多种方式加强对商标代理机构和从业人员监督检查，重点检查是否严格履行商标代理职责和义务，质量管理、利益冲突审查、恶意申请筛查等制度是否健全，是否存在不规范经营行为。对于通过网络从事商标代理业务的,重点检查其是否存在恶意排挤竞争对手、低于成本价格提供服务、通过网络展示具有重大不良影响商标等行为。坚持检查与规范相结合，以检查为契机，积极引导商标代理机构，按照《商标代理监督管理规定》《国家知识产权局关于商标代理机构重新备案的公告》等有关要求，于2023年1月1日至2023年2月28日期间完成重新备案工作。对于检查中发现的问题,通过约谈、提出意见等方式督促其及时整改,涉嫌违法线索及时查处。</w:t>
      </w:r>
    </w:p>
    <w:p>
      <w:pPr>
        <w:spacing w:line="590" w:lineRule="exact"/>
        <w:ind w:firstLine="632" w:firstLineChars="200"/>
        <w:rPr>
          <w:rFonts w:ascii="宋体" w:hAnsi="宋体"/>
        </w:rPr>
      </w:pPr>
      <w:r>
        <w:rPr>
          <w:rFonts w:hint="eastAsia" w:ascii="宋体" w:hAnsi="宋体" w:eastAsia="方正楷体_GBK"/>
        </w:rPr>
        <w:t>（四）做好信息归集利用，建立机构信用档案。</w:t>
      </w:r>
      <w:r>
        <w:rPr>
          <w:rFonts w:hint="eastAsia" w:ascii="宋体" w:hAnsi="宋体"/>
        </w:rPr>
        <w:t>各地市场监督管理局（知识产权局）对辖区内商标代理机构进行全面摸底排查，掌握辖区商标代理机构和从业人员底数，建立完善商标代理机构和商标代理从业人员信用档案，将商标代理机构和从业人员的行政处罚信息按规定通过国家企业信用信息公示系统、信用中国等平台向社会公示，对于商标代理机构故意侵犯知识产权，提交恶意商标注册申请，损害社会公共利益，从事严重违法商标代理行为，性质恶劣、情节严重、社会危害较大，受到较重行政处罚的，按有关规定列入严重违法失信名单。</w:t>
      </w:r>
    </w:p>
    <w:p>
      <w:pPr>
        <w:spacing w:line="590" w:lineRule="exact"/>
        <w:ind w:firstLine="632" w:firstLineChars="200"/>
        <w:rPr>
          <w:rFonts w:ascii="宋体" w:hAnsi="宋体" w:eastAsia="方正黑体_GBK"/>
        </w:rPr>
      </w:pPr>
      <w:r>
        <w:rPr>
          <w:rFonts w:hint="eastAsia" w:ascii="宋体" w:hAnsi="宋体" w:eastAsia="方正黑体_GBK"/>
        </w:rPr>
        <w:t>三、保障措施</w:t>
      </w:r>
    </w:p>
    <w:p>
      <w:pPr>
        <w:spacing w:line="590" w:lineRule="exact"/>
        <w:ind w:firstLine="632" w:firstLineChars="200"/>
        <w:rPr>
          <w:rFonts w:ascii="宋体" w:hAnsi="宋体"/>
        </w:rPr>
      </w:pPr>
      <w:r>
        <w:rPr>
          <w:rFonts w:hint="eastAsia" w:ascii="宋体" w:hAnsi="宋体" w:eastAsia="方正楷体_GBK"/>
        </w:rPr>
        <w:t>（一）加强组织领导。</w:t>
      </w:r>
      <w:r>
        <w:rPr>
          <w:rFonts w:hint="eastAsia" w:ascii="宋体" w:hAnsi="宋体"/>
        </w:rPr>
        <w:t>各地市场监督管理局（知识产权局）要高度重视，提高政治站位，在年底工作头绪多、任务重、压力大的情况下，统筹监管执法资源，加强执法监管衔接，及时反馈进展情况，精心组织、强力推进专项行动落实落地。</w:t>
      </w:r>
    </w:p>
    <w:p>
      <w:pPr>
        <w:spacing w:line="590" w:lineRule="exact"/>
        <w:ind w:firstLine="632" w:firstLineChars="200"/>
        <w:rPr>
          <w:rFonts w:ascii="宋体" w:hAnsi="宋体"/>
        </w:rPr>
      </w:pPr>
      <w:r>
        <w:rPr>
          <w:rFonts w:hint="eastAsia" w:ascii="宋体" w:hAnsi="宋体" w:eastAsia="方正楷体_GBK"/>
        </w:rPr>
        <w:t>（二）加强执法协作。</w:t>
      </w:r>
      <w:r>
        <w:rPr>
          <w:rFonts w:hint="eastAsia" w:ascii="宋体" w:hAnsi="宋体"/>
        </w:rPr>
        <w:t>各地市场监督管理局（知识产权局）要加强内设机构间协同配合和信息共享，按照职责分工做好日常监管和案件查处工作；对于转交的案件线索，要依法进行调查处理，及时反馈办理情况；要加强区域间联络会商、线索移送、案件协查，在办案中发现相关商标代理机构涉及辖区以外的，要将有关情况及时通报涉案地市场监管部门，并根据需要请求开展协查。涉案地市场监管部门要迅速核查，符合立案条件的，依法立案调查，并及时协查回复。</w:t>
      </w:r>
    </w:p>
    <w:p>
      <w:pPr>
        <w:spacing w:line="590" w:lineRule="exact"/>
        <w:ind w:firstLine="632" w:firstLineChars="200"/>
        <w:rPr>
          <w:rFonts w:ascii="宋体" w:hAnsi="宋体"/>
        </w:rPr>
      </w:pPr>
      <w:r>
        <w:rPr>
          <w:rFonts w:hint="eastAsia" w:ascii="宋体" w:hAnsi="宋体" w:eastAsia="方正楷体_GBK"/>
        </w:rPr>
        <w:t>（三）加强工作督导。</w:t>
      </w:r>
      <w:r>
        <w:rPr>
          <w:rFonts w:hint="eastAsia" w:ascii="宋体" w:hAnsi="宋体"/>
        </w:rPr>
        <w:t>省市场监督管理局、省知识产权局加强专项整治行动组织实施的督导，并将相关工作情况纳入知识产权保护检查和打击侵权假冒、真抓实干督查激励等工作考核评价，推动整治行动深入开展。对于行动不力、未及时办理转交线索、对社会关注和公众反映问题未能及时有效解决，不敢直面问题、不敢担当的，视情约谈相关负责同志。对于先进经验和先进典型，及时宣传推广；对于真抓实干、成效明显的地方，加大支持与激励力度。各地市场监督管理局（知识产权局）要加强对基层的督促指导，工作中遇到疑难复杂问题，及时报告上级部门研究并协调解决。</w:t>
      </w:r>
    </w:p>
    <w:p>
      <w:pPr>
        <w:spacing w:line="590" w:lineRule="exact"/>
        <w:ind w:firstLine="632" w:firstLineChars="200"/>
        <w:rPr>
          <w:rFonts w:ascii="宋体" w:hAnsi="宋体"/>
        </w:rPr>
      </w:pPr>
      <w:r>
        <w:rPr>
          <w:rFonts w:hint="eastAsia" w:ascii="宋体" w:hAnsi="宋体" w:eastAsia="方正楷体_GBK"/>
        </w:rPr>
        <w:t>（四）加强宣传引导</w:t>
      </w:r>
      <w:r>
        <w:rPr>
          <w:rFonts w:hint="eastAsia" w:ascii="宋体" w:hAnsi="宋体"/>
        </w:rPr>
        <w:t>。各地市场监督管理局（知识产权局）要通过网站、新闻媒体等加大宣传引导力度，加强法律法规宣传，教育和引导商标代理机构和从业人员诚信守法开展业务，依法规范发展；要充分发挥查办案件治本功能，加强典型违法案件的收集、整理，及时依法公开曝光违法行为，通过对典型违法案件定期曝光，达到曝光一案，教育警示一片的作用，切实形成震慑效应。</w:t>
      </w:r>
    </w:p>
    <w:p>
      <w:pPr>
        <w:spacing w:line="590" w:lineRule="exact"/>
        <w:ind w:firstLine="632" w:firstLineChars="200"/>
        <w:rPr>
          <w:rFonts w:ascii="宋体" w:hAnsi="宋体" w:eastAsia="方正黑体_GBK"/>
        </w:rPr>
      </w:pPr>
      <w:r>
        <w:rPr>
          <w:rFonts w:hint="eastAsia" w:ascii="宋体" w:hAnsi="宋体" w:eastAsia="方正黑体_GBK"/>
        </w:rPr>
        <w:t>四、进度安排</w:t>
      </w:r>
    </w:p>
    <w:p>
      <w:pPr>
        <w:spacing w:line="590" w:lineRule="exact"/>
        <w:ind w:firstLine="632" w:firstLineChars="200"/>
        <w:rPr>
          <w:rFonts w:ascii="宋体" w:hAnsi="宋体"/>
        </w:rPr>
      </w:pPr>
      <w:r>
        <w:rPr>
          <w:rFonts w:hint="eastAsia" w:ascii="宋体" w:hAnsi="宋体" w:eastAsia="方正楷体_GBK"/>
        </w:rPr>
        <w:t>（一）工作部署。</w:t>
      </w:r>
      <w:r>
        <w:rPr>
          <w:rFonts w:hint="eastAsia" w:ascii="宋体" w:hAnsi="宋体"/>
        </w:rPr>
        <w:t>此次专项行动时间紧、任务重，请各地市场监督管理局（知识产权局）收到通知后立即开展工作部署，确保工作人员了解专项行动的有关要求，并做好宣传引导，引导企业和权利人对整治行动的关注和支持，营造良好的社会氛围。</w:t>
      </w:r>
    </w:p>
    <w:p>
      <w:pPr>
        <w:spacing w:line="590" w:lineRule="exact"/>
        <w:ind w:firstLine="632" w:firstLineChars="200"/>
        <w:rPr>
          <w:rFonts w:ascii="宋体" w:hAnsi="宋体"/>
        </w:rPr>
      </w:pPr>
      <w:r>
        <w:rPr>
          <w:rFonts w:hint="eastAsia" w:ascii="宋体" w:hAnsi="宋体" w:eastAsia="方正楷体_GBK"/>
        </w:rPr>
        <w:t>（二）组织实施。</w:t>
      </w:r>
      <w:r>
        <w:rPr>
          <w:rFonts w:hint="eastAsia" w:ascii="宋体" w:hAnsi="宋体"/>
        </w:rPr>
        <w:t>对辖区内商标代理机构开展检查，走访企业，摸排违法线索，依法查处案件，对今年以来上级转交的违法线索，加快办理进度，1</w:t>
      </w:r>
      <w:r>
        <w:rPr>
          <w:rFonts w:ascii="宋体" w:hAnsi="宋体"/>
        </w:rPr>
        <w:t>2</w:t>
      </w:r>
      <w:r>
        <w:rPr>
          <w:rFonts w:hint="eastAsia" w:ascii="宋体" w:hAnsi="宋体"/>
        </w:rPr>
        <w:t>月2</w:t>
      </w:r>
      <w:r>
        <w:rPr>
          <w:rFonts w:ascii="宋体" w:hAnsi="宋体"/>
        </w:rPr>
        <w:t>5</w:t>
      </w:r>
      <w:r>
        <w:rPr>
          <w:rFonts w:hint="eastAsia" w:ascii="宋体" w:hAnsi="宋体"/>
        </w:rPr>
        <w:t>日之前报送案件查处情况和案件清单（附件1）。省市场监督管理局、省知识产权局将视情选择重点地区，对行动开展和案件查办情况进行督导。</w:t>
      </w:r>
    </w:p>
    <w:p>
      <w:pPr>
        <w:spacing w:line="590" w:lineRule="exact"/>
        <w:ind w:firstLine="632" w:firstLineChars="200"/>
        <w:rPr>
          <w:rFonts w:ascii="宋体" w:hAnsi="宋体"/>
        </w:rPr>
      </w:pPr>
      <w:r>
        <w:rPr>
          <w:rFonts w:hint="eastAsia" w:ascii="宋体" w:hAnsi="宋体" w:eastAsia="方正楷体_GBK"/>
        </w:rPr>
        <w:t>（三）情况上报。</w:t>
      </w:r>
      <w:r>
        <w:rPr>
          <w:rFonts w:hint="eastAsia" w:ascii="宋体" w:hAnsi="宋体"/>
        </w:rPr>
        <w:t>2022年12月底，各设区市市场监管局（知识产权局）及时总结专项整治行动开展情况及成效，梳理违法代理机构信息，分析专项行动中存在的问题，研究提出改进措施和构建长效机制的建议，并将相关总结材料以及专项行动相关数据（附件2）和典型案例推荐表（附件3）分别报送至省市场监督管理局、省知识产权局。</w:t>
      </w:r>
    </w:p>
    <w:p>
      <w:pPr>
        <w:spacing w:line="590" w:lineRule="exact"/>
        <w:ind w:firstLine="632" w:firstLineChars="200"/>
        <w:rPr>
          <w:rFonts w:ascii="宋体" w:hAnsi="宋体"/>
        </w:rPr>
      </w:pPr>
    </w:p>
    <w:p>
      <w:pPr>
        <w:rPr>
          <w:rFonts w:ascii="宋体" w:hAnsi="宋体"/>
        </w:rPr>
      </w:pPr>
      <w:r>
        <w:rPr>
          <w:rFonts w:hint="eastAsia" w:ascii="宋体" w:hAnsi="宋体"/>
        </w:rPr>
        <w:t>附件：</w:t>
      </w:r>
      <w:r>
        <w:rPr>
          <w:rFonts w:ascii="宋体" w:hAnsi="宋体"/>
        </w:rPr>
        <w:tab/>
      </w:r>
      <w:r>
        <w:rPr>
          <w:rFonts w:hint="eastAsia" w:ascii="宋体" w:hAnsi="宋体"/>
        </w:rPr>
        <w:t>1</w:t>
      </w:r>
      <w:r>
        <w:rPr>
          <w:rFonts w:ascii="宋体" w:hAnsi="宋体"/>
        </w:rPr>
        <w:t>.</w:t>
      </w:r>
      <w:r>
        <w:rPr>
          <w:rFonts w:hint="eastAsia" w:ascii="宋体" w:hAnsi="宋体"/>
        </w:rPr>
        <w:t xml:space="preserve"> 查处商标代理违法行为案件清单</w:t>
      </w:r>
    </w:p>
    <w:p>
      <w:pPr>
        <w:rPr>
          <w:rFonts w:ascii="宋体" w:hAnsi="宋体"/>
        </w:rPr>
      </w:pPr>
      <w:r>
        <w:rPr>
          <w:rFonts w:ascii="宋体" w:hAnsi="宋体"/>
        </w:rPr>
        <w:tab/>
      </w:r>
      <w:r>
        <w:rPr>
          <w:rFonts w:ascii="宋体" w:hAnsi="宋体"/>
        </w:rPr>
        <w:tab/>
      </w:r>
      <w:r>
        <w:rPr>
          <w:rFonts w:ascii="宋体" w:hAnsi="宋体"/>
        </w:rPr>
        <w:tab/>
      </w:r>
      <w:r>
        <w:rPr>
          <w:rFonts w:ascii="宋体" w:hAnsi="宋体"/>
        </w:rPr>
        <w:t>2.</w:t>
      </w:r>
      <w:r>
        <w:rPr>
          <w:rFonts w:hint="eastAsia" w:ascii="宋体" w:hAnsi="宋体"/>
        </w:rPr>
        <w:t xml:space="preserve"> 商标代理行业专项整治行动数据统计表</w:t>
      </w:r>
    </w:p>
    <w:p>
      <w:pPr>
        <w:rPr>
          <w:rFonts w:ascii="宋体" w:hAnsi="宋体"/>
        </w:rPr>
      </w:pPr>
      <w:r>
        <w:rPr>
          <w:rFonts w:ascii="宋体" w:hAnsi="宋体"/>
        </w:rPr>
        <w:tab/>
      </w:r>
      <w:r>
        <w:rPr>
          <w:rFonts w:ascii="宋体" w:hAnsi="宋体"/>
        </w:rPr>
        <w:tab/>
      </w:r>
      <w:r>
        <w:rPr>
          <w:rFonts w:ascii="宋体" w:hAnsi="宋体"/>
        </w:rPr>
        <w:tab/>
      </w:r>
      <w:r>
        <w:rPr>
          <w:rFonts w:ascii="宋体" w:hAnsi="宋体"/>
        </w:rPr>
        <w:t>3.</w:t>
      </w:r>
      <w:r>
        <w:rPr>
          <w:rFonts w:hint="eastAsia" w:ascii="宋体" w:hAnsi="宋体"/>
        </w:rPr>
        <w:t xml:space="preserve"> 典型案例推荐表</w:t>
      </w:r>
      <w:r>
        <w:rPr>
          <w:rFonts w:ascii="宋体" w:hAnsi="宋体"/>
        </w:rPr>
        <w:t> </w:t>
      </w:r>
    </w:p>
    <w:p>
      <w:pPr>
        <w:rPr>
          <w:rFonts w:ascii="宋体" w:hAnsi="宋体"/>
        </w:rPr>
        <w:sectPr>
          <w:footerReference r:id="rId5" w:type="default"/>
          <w:footerReference r:id="rId6" w:type="even"/>
          <w:pgSz w:w="11906" w:h="16838"/>
          <w:pgMar w:top="1814" w:right="1531" w:bottom="1985" w:left="1531" w:header="720" w:footer="1474" w:gutter="0"/>
          <w:paperSrc w:first="2" w:other="2"/>
          <w:pgNumType w:start="1"/>
          <w:cols w:space="720" w:num="1"/>
          <w:docGrid w:type="linesAndChars" w:linePitch="590" w:charSpace="-1024"/>
        </w:sectPr>
      </w:pPr>
    </w:p>
    <w:p>
      <w:pPr>
        <w:rPr>
          <w:rFonts w:ascii="宋体" w:hAnsi="宋体" w:eastAsia="方正黑体_GBK"/>
        </w:rPr>
      </w:pPr>
      <w:r>
        <w:rPr>
          <w:rFonts w:hint="eastAsia" w:ascii="宋体" w:hAnsi="宋体" w:eastAsia="方正黑体_GBK"/>
        </w:rPr>
        <w:t>附件1</w:t>
      </w:r>
    </w:p>
    <w:p>
      <w:pPr>
        <w:rPr>
          <w:rFonts w:ascii="宋体" w:hAnsi="宋体"/>
        </w:rPr>
      </w:pPr>
    </w:p>
    <w:p>
      <w:pPr>
        <w:ind w:firstLine="0"/>
        <w:jc w:val="center"/>
        <w:rPr>
          <w:rFonts w:ascii="宋体" w:hAnsi="宋体" w:eastAsia="方正小标宋_GBK"/>
          <w:sz w:val="44"/>
          <w:szCs w:val="44"/>
        </w:rPr>
      </w:pPr>
      <w:r>
        <w:rPr>
          <w:rFonts w:hint="eastAsia" w:ascii="宋体" w:hAnsi="宋体" w:eastAsia="方正小标宋_GBK"/>
          <w:sz w:val="44"/>
          <w:szCs w:val="44"/>
        </w:rPr>
        <w:t>查处商标代理违法行为案件清单</w:t>
      </w:r>
    </w:p>
    <w:p>
      <w:pPr>
        <w:widowControl/>
        <w:shd w:val="clear" w:color="auto" w:fill="FFFFFF"/>
        <w:wordWrap w:val="0"/>
        <w:autoSpaceDE/>
        <w:autoSpaceDN/>
        <w:snapToGrid/>
        <w:spacing w:before="100" w:beforeAutospacing="1" w:after="100" w:afterAutospacing="1" w:line="240" w:lineRule="auto"/>
        <w:ind w:firstLine="0"/>
        <w:rPr>
          <w:rFonts w:ascii="宋体" w:hAnsi="宋体" w:cs="宋体"/>
          <w:snapToGrid/>
          <w:color w:val="000000"/>
          <w:sz w:val="27"/>
          <w:szCs w:val="27"/>
        </w:rPr>
      </w:pPr>
      <w:r>
        <w:rPr>
          <w:rFonts w:hint="eastAsia" w:ascii="宋体" w:hAnsi="宋体" w:cs="宋体"/>
          <w:snapToGrid/>
          <w:color w:val="000000"/>
          <w:sz w:val="28"/>
          <w:szCs w:val="28"/>
        </w:rPr>
        <w:t>填报单位：</w:t>
      </w:r>
      <w:r>
        <w:rPr>
          <w:rFonts w:hint="eastAsia" w:ascii="宋体" w:hAnsi="宋体" w:cs="Calibri"/>
          <w:snapToGrid/>
          <w:color w:val="000000"/>
          <w:sz w:val="28"/>
          <w:szCs w:val="28"/>
        </w:rPr>
        <w:t xml:space="preserve">             </w:t>
      </w:r>
    </w:p>
    <w:tbl>
      <w:tblPr>
        <w:tblStyle w:val="8"/>
        <w:tblW w:w="0" w:type="auto"/>
        <w:jc w:val="center"/>
        <w:tblCellSpacing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15" w:type="dxa"/>
          <w:left w:w="15" w:type="dxa"/>
          <w:bottom w:w="15" w:type="dxa"/>
          <w:right w:w="15" w:type="dxa"/>
        </w:tblCellMar>
      </w:tblPr>
      <w:tblGrid>
        <w:gridCol w:w="1698"/>
        <w:gridCol w:w="1418"/>
        <w:gridCol w:w="1056"/>
        <w:gridCol w:w="1056"/>
        <w:gridCol w:w="1056"/>
        <w:gridCol w:w="1056"/>
        <w:gridCol w:w="1056"/>
        <w:gridCol w:w="1056"/>
        <w:gridCol w:w="1056"/>
        <w:gridCol w:w="1056"/>
        <w:gridCol w:w="105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blCellSpacing w:w="0" w:type="dxa"/>
          <w:jc w:val="center"/>
        </w:trPr>
        <w:tc>
          <w:tcPr>
            <w:tcW w:w="1698" w:type="dxa"/>
            <w:vAlign w:val="center"/>
          </w:tcPr>
          <w:p>
            <w:pPr>
              <w:widowControl/>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涉案代理机构/人员名称</w:t>
            </w:r>
          </w:p>
        </w:tc>
        <w:tc>
          <w:tcPr>
            <w:tcW w:w="1418"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案件名称</w:t>
            </w:r>
          </w:p>
        </w:tc>
        <w:tc>
          <w:tcPr>
            <w:tcW w:w="1056"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立案时间</w:t>
            </w:r>
          </w:p>
        </w:tc>
        <w:tc>
          <w:tcPr>
            <w:tcW w:w="1056"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立案机关</w:t>
            </w:r>
          </w:p>
        </w:tc>
        <w:tc>
          <w:tcPr>
            <w:tcW w:w="1056"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违法行为类型</w:t>
            </w:r>
          </w:p>
        </w:tc>
        <w:tc>
          <w:tcPr>
            <w:tcW w:w="1056"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违法依据</w:t>
            </w:r>
          </w:p>
        </w:tc>
        <w:tc>
          <w:tcPr>
            <w:tcW w:w="1056"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结案状态</w:t>
            </w:r>
          </w:p>
        </w:tc>
        <w:tc>
          <w:tcPr>
            <w:tcW w:w="1056"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处罚依据</w:t>
            </w:r>
          </w:p>
        </w:tc>
        <w:tc>
          <w:tcPr>
            <w:tcW w:w="1056"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处罚时间</w:t>
            </w:r>
          </w:p>
        </w:tc>
        <w:tc>
          <w:tcPr>
            <w:tcW w:w="1056"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处罚决定书编号</w:t>
            </w:r>
          </w:p>
        </w:tc>
        <w:tc>
          <w:tcPr>
            <w:tcW w:w="1056" w:type="dxa"/>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宋体"/>
                <w:snapToGrid/>
                <w:color w:val="000000"/>
                <w:sz w:val="28"/>
                <w:szCs w:val="28"/>
              </w:rPr>
              <w:t>处罚结果</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blCellSpacing w:w="0" w:type="dxa"/>
          <w:jc w:val="center"/>
        </w:trPr>
        <w:tc>
          <w:tcPr>
            <w:tcW w:w="1698"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418"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blCellSpacing w:w="0" w:type="dxa"/>
          <w:jc w:val="center"/>
        </w:trPr>
        <w:tc>
          <w:tcPr>
            <w:tcW w:w="1698"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418"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c>
          <w:tcPr>
            <w:tcW w:w="1056" w:type="dxa"/>
            <w:vAlign w:val="center"/>
          </w:tcPr>
          <w:p>
            <w:pPr>
              <w:widowControl/>
              <w:wordWrap w:val="0"/>
              <w:autoSpaceDE/>
              <w:autoSpaceDN/>
              <w:snapToGrid/>
              <w:spacing w:before="100" w:beforeAutospacing="1" w:after="100" w:afterAutospacing="1" w:line="240" w:lineRule="auto"/>
              <w:ind w:firstLine="0"/>
              <w:jc w:val="left"/>
              <w:rPr>
                <w:rFonts w:ascii="宋体" w:hAnsi="宋体" w:cs="宋体"/>
                <w:snapToGrid/>
                <w:color w:val="000000"/>
                <w:sz w:val="28"/>
                <w:szCs w:val="28"/>
              </w:rPr>
            </w:pPr>
            <w:r>
              <w:rPr>
                <w:rFonts w:hint="eastAsia" w:ascii="宋体" w:hAnsi="宋体" w:cs="Calibri"/>
                <w:snapToGrid/>
                <w:color w:val="000000"/>
                <w:sz w:val="28"/>
                <w:szCs w:val="28"/>
              </w:rPr>
              <w:t>  </w:t>
            </w:r>
          </w:p>
        </w:tc>
      </w:tr>
    </w:tbl>
    <w:p>
      <w:pPr>
        <w:widowControl/>
        <w:shd w:val="clear" w:color="auto" w:fill="FFFFFF"/>
        <w:autoSpaceDE/>
        <w:autoSpaceDN/>
        <w:snapToGrid/>
        <w:spacing w:before="100" w:beforeAutospacing="1" w:after="100" w:afterAutospacing="1" w:line="0" w:lineRule="atLeast"/>
        <w:ind w:firstLine="0"/>
        <w:jc w:val="right"/>
        <w:rPr>
          <w:rFonts w:ascii="宋体" w:hAnsi="宋体" w:cs="宋体"/>
          <w:snapToGrid/>
          <w:color w:val="000000"/>
          <w:sz w:val="28"/>
          <w:szCs w:val="28"/>
        </w:rPr>
      </w:pPr>
      <w:r>
        <w:rPr>
          <w:rFonts w:hint="eastAsia" w:ascii="宋体" w:hAnsi="宋体" w:cs="宋体"/>
          <w:snapToGrid/>
          <w:color w:val="000000"/>
          <w:sz w:val="28"/>
          <w:szCs w:val="28"/>
        </w:rPr>
        <w:t>填报人：</w:t>
      </w:r>
      <w:r>
        <w:rPr>
          <w:rFonts w:hint="eastAsia" w:ascii="宋体" w:hAnsi="宋体" w:cs="Calibri"/>
          <w:snapToGrid/>
          <w:color w:val="000000"/>
          <w:sz w:val="28"/>
          <w:szCs w:val="28"/>
        </w:rPr>
        <w:t>        </w:t>
      </w:r>
      <w:r>
        <w:rPr>
          <w:rFonts w:hint="eastAsia" w:ascii="宋体" w:hAnsi="宋体" w:cs="宋体"/>
          <w:snapToGrid/>
          <w:color w:val="000000"/>
          <w:sz w:val="28"/>
          <w:szCs w:val="28"/>
        </w:rPr>
        <w:t>填报日期：</w:t>
      </w:r>
      <w:r>
        <w:rPr>
          <w:rFonts w:hint="eastAsia" w:ascii="宋体" w:hAnsi="宋体" w:cs="Calibri"/>
          <w:snapToGrid/>
          <w:color w:val="000000"/>
          <w:sz w:val="28"/>
          <w:szCs w:val="28"/>
        </w:rPr>
        <w:t>  </w:t>
      </w:r>
      <w:r>
        <w:rPr>
          <w:rFonts w:hint="eastAsia" w:ascii="宋体" w:hAnsi="宋体" w:cs="宋体"/>
          <w:snapToGrid/>
          <w:color w:val="000000"/>
          <w:sz w:val="28"/>
          <w:szCs w:val="28"/>
        </w:rPr>
        <w:t>年</w:t>
      </w:r>
      <w:r>
        <w:rPr>
          <w:rFonts w:hint="eastAsia" w:ascii="宋体" w:hAnsi="宋体" w:cs="Calibri"/>
          <w:snapToGrid/>
          <w:color w:val="000000"/>
          <w:sz w:val="28"/>
          <w:szCs w:val="28"/>
        </w:rPr>
        <w:t>  </w:t>
      </w:r>
      <w:r>
        <w:rPr>
          <w:rFonts w:hint="eastAsia" w:ascii="宋体" w:hAnsi="宋体" w:cs="宋体"/>
          <w:snapToGrid/>
          <w:color w:val="000000"/>
          <w:sz w:val="28"/>
          <w:szCs w:val="28"/>
        </w:rPr>
        <w:t>月</w:t>
      </w:r>
      <w:r>
        <w:rPr>
          <w:rFonts w:hint="eastAsia" w:ascii="宋体" w:hAnsi="宋体" w:cs="Calibri"/>
          <w:snapToGrid/>
          <w:color w:val="000000"/>
          <w:sz w:val="28"/>
          <w:szCs w:val="28"/>
        </w:rPr>
        <w:t>  </w:t>
      </w:r>
      <w:r>
        <w:rPr>
          <w:rFonts w:hint="eastAsia" w:ascii="宋体" w:hAnsi="宋体" w:cs="宋体"/>
          <w:snapToGrid/>
          <w:color w:val="000000"/>
          <w:sz w:val="28"/>
          <w:szCs w:val="28"/>
        </w:rPr>
        <w:t>日</w:t>
      </w:r>
      <w:r>
        <w:rPr>
          <w:rFonts w:hint="eastAsia" w:ascii="宋体" w:hAnsi="宋体" w:cs="Calibri"/>
          <w:snapToGrid/>
          <w:color w:val="000000"/>
          <w:sz w:val="27"/>
          <w:szCs w:val="27"/>
        </w:rPr>
        <w:t> </w:t>
      </w:r>
    </w:p>
    <w:p>
      <w:pPr>
        <w:widowControl/>
        <w:shd w:val="clear" w:color="auto" w:fill="FFFFFF"/>
        <w:wordWrap w:val="0"/>
        <w:autoSpaceDE/>
        <w:autoSpaceDN/>
        <w:snapToGrid/>
        <w:spacing w:line="0" w:lineRule="atLeast"/>
        <w:ind w:firstLine="0"/>
        <w:jc w:val="left"/>
        <w:rPr>
          <w:rFonts w:ascii="宋体" w:hAnsi="宋体" w:cs="宋体"/>
          <w:snapToGrid/>
          <w:color w:val="000000"/>
          <w:sz w:val="27"/>
          <w:szCs w:val="27"/>
        </w:rPr>
      </w:pPr>
      <w:r>
        <w:rPr>
          <w:rFonts w:hint="eastAsia" w:ascii="宋体" w:hAnsi="宋体" w:cs="宋体"/>
          <w:snapToGrid/>
          <w:color w:val="000000"/>
          <w:sz w:val="28"/>
          <w:szCs w:val="28"/>
        </w:rPr>
        <w:t>填表说明：</w:t>
      </w:r>
    </w:p>
    <w:p>
      <w:pPr>
        <w:widowControl/>
        <w:shd w:val="clear" w:color="auto" w:fill="FFFFFF"/>
        <w:wordWrap w:val="0"/>
        <w:autoSpaceDE/>
        <w:autoSpaceDN/>
        <w:snapToGrid/>
        <w:spacing w:line="0" w:lineRule="atLeast"/>
        <w:ind w:firstLine="0"/>
        <w:jc w:val="left"/>
        <w:rPr>
          <w:rFonts w:ascii="宋体" w:hAnsi="宋体" w:cs="宋体"/>
          <w:snapToGrid/>
          <w:color w:val="000000"/>
          <w:sz w:val="27"/>
          <w:szCs w:val="27"/>
        </w:rPr>
      </w:pPr>
      <w:r>
        <w:rPr>
          <w:rFonts w:hint="eastAsia" w:ascii="宋体" w:hAnsi="宋体" w:cs="Calibri"/>
          <w:snapToGrid/>
          <w:color w:val="000000"/>
          <w:sz w:val="28"/>
          <w:szCs w:val="28"/>
        </w:rPr>
        <w:t> </w:t>
      </w:r>
      <w:r>
        <w:rPr>
          <w:rFonts w:hint="eastAsia" w:ascii="宋体" w:hAnsi="宋体" w:cs="宋体"/>
          <w:snapToGrid/>
          <w:color w:val="000000"/>
          <w:sz w:val="28"/>
          <w:szCs w:val="28"/>
        </w:rPr>
        <w:t xml:space="preserve"> </w:t>
      </w:r>
      <w:r>
        <w:rPr>
          <w:rFonts w:hint="eastAsia" w:ascii="宋体" w:hAnsi="宋体" w:cs="Calibri"/>
          <w:snapToGrid/>
          <w:color w:val="000000"/>
          <w:sz w:val="28"/>
          <w:szCs w:val="28"/>
        </w:rPr>
        <w:t> </w:t>
      </w:r>
      <w:r>
        <w:rPr>
          <w:rFonts w:hint="eastAsia" w:ascii="宋体" w:hAnsi="宋体" w:cs="宋体"/>
          <w:snapToGrid/>
          <w:color w:val="000000"/>
          <w:sz w:val="28"/>
          <w:szCs w:val="28"/>
        </w:rPr>
        <w:t xml:space="preserve"> 1.违法行为类型主要分为但不限于伪造申请材料和法律文书、以不正当手段招揽业务、虚假宣称有内部关系、代理恶意抢注和囤积商标、代理人关联公司恶意抢注被代理人或其他利害关系人商标、未经备案违法从事商标代理等。</w:t>
      </w:r>
    </w:p>
    <w:p>
      <w:pPr>
        <w:widowControl/>
        <w:shd w:val="clear" w:color="auto" w:fill="FFFFFF"/>
        <w:wordWrap w:val="0"/>
        <w:autoSpaceDE/>
        <w:autoSpaceDN/>
        <w:snapToGrid/>
        <w:spacing w:line="0" w:lineRule="atLeast"/>
        <w:ind w:firstLine="0"/>
        <w:jc w:val="left"/>
        <w:rPr>
          <w:rFonts w:ascii="宋体" w:hAnsi="宋体" w:cs="Calibri"/>
          <w:snapToGrid/>
          <w:color w:val="000000"/>
          <w:sz w:val="27"/>
          <w:szCs w:val="27"/>
        </w:rPr>
      </w:pPr>
      <w:r>
        <w:rPr>
          <w:rFonts w:hint="eastAsia" w:ascii="宋体" w:hAnsi="宋体" w:cs="Calibri"/>
          <w:snapToGrid/>
          <w:color w:val="000000"/>
          <w:sz w:val="28"/>
          <w:szCs w:val="28"/>
        </w:rPr>
        <w:t> </w:t>
      </w:r>
      <w:r>
        <w:rPr>
          <w:rFonts w:hint="eastAsia" w:ascii="宋体" w:hAnsi="宋体" w:cs="宋体"/>
          <w:snapToGrid/>
          <w:color w:val="000000"/>
          <w:sz w:val="28"/>
          <w:szCs w:val="28"/>
        </w:rPr>
        <w:t xml:space="preserve"> </w:t>
      </w:r>
      <w:r>
        <w:rPr>
          <w:rFonts w:hint="eastAsia" w:ascii="宋体" w:hAnsi="宋体" w:cs="Calibri"/>
          <w:snapToGrid/>
          <w:color w:val="000000"/>
          <w:sz w:val="28"/>
          <w:szCs w:val="28"/>
        </w:rPr>
        <w:t> </w:t>
      </w:r>
      <w:r>
        <w:rPr>
          <w:rFonts w:hint="eastAsia" w:ascii="宋体" w:hAnsi="宋体" w:cs="宋体"/>
          <w:snapToGrid/>
          <w:color w:val="000000"/>
          <w:sz w:val="28"/>
          <w:szCs w:val="28"/>
        </w:rPr>
        <w:t xml:space="preserve"> 2.违法依据和处罚依据应填写适用法律法规条款，如《商标法》第十九条第三款。</w:t>
      </w:r>
      <w:r>
        <w:rPr>
          <w:rFonts w:hint="eastAsia" w:ascii="宋体" w:hAnsi="宋体" w:cs="Calibri"/>
          <w:snapToGrid/>
          <w:color w:val="000000"/>
          <w:sz w:val="27"/>
          <w:szCs w:val="27"/>
        </w:rPr>
        <w:t>  </w:t>
      </w:r>
    </w:p>
    <w:p>
      <w:pPr>
        <w:widowControl/>
        <w:autoSpaceDE/>
        <w:autoSpaceDN/>
        <w:snapToGrid/>
        <w:spacing w:line="240" w:lineRule="auto"/>
        <w:ind w:firstLine="0"/>
        <w:jc w:val="left"/>
        <w:rPr>
          <w:rFonts w:ascii="宋体" w:hAnsi="宋体" w:cs="Calibri"/>
          <w:snapToGrid/>
          <w:color w:val="000000"/>
          <w:sz w:val="27"/>
          <w:szCs w:val="27"/>
        </w:rPr>
      </w:pPr>
      <w:r>
        <w:rPr>
          <w:rFonts w:ascii="宋体" w:hAnsi="宋体" w:cs="Calibri"/>
          <w:snapToGrid/>
          <w:color w:val="000000"/>
          <w:sz w:val="27"/>
          <w:szCs w:val="27"/>
        </w:rPr>
        <w:br w:type="page"/>
      </w:r>
    </w:p>
    <w:p>
      <w:pPr>
        <w:rPr>
          <w:rFonts w:ascii="宋体" w:hAnsi="宋体" w:eastAsia="方正黑体_GBK"/>
        </w:rPr>
        <w:sectPr>
          <w:pgSz w:w="16838" w:h="11906" w:orient="landscape"/>
          <w:pgMar w:top="1531" w:right="1814" w:bottom="1531" w:left="1985" w:header="720" w:footer="1474" w:gutter="0"/>
          <w:paperSrc w:first="2" w:other="2"/>
          <w:cols w:space="720" w:num="1"/>
          <w:docGrid w:type="linesAndChars" w:linePitch="590" w:charSpace="-1024"/>
        </w:sectPr>
      </w:pPr>
    </w:p>
    <w:p>
      <w:pPr>
        <w:rPr>
          <w:rFonts w:ascii="宋体" w:hAnsi="宋体" w:eastAsia="方正黑体_GBK"/>
        </w:rPr>
      </w:pPr>
      <w:r>
        <w:rPr>
          <w:rFonts w:hint="eastAsia" w:ascii="宋体" w:hAnsi="宋体" w:eastAsia="方正黑体_GBK"/>
        </w:rPr>
        <w:t>附件</w:t>
      </w:r>
      <w:r>
        <w:rPr>
          <w:rFonts w:ascii="宋体" w:hAnsi="宋体" w:eastAsia="方正黑体_GBK"/>
        </w:rPr>
        <w:t>2</w:t>
      </w:r>
    </w:p>
    <w:p>
      <w:pPr>
        <w:spacing w:before="295" w:beforeLines="50" w:after="295" w:afterLines="50"/>
        <w:rPr>
          <w:rFonts w:ascii="宋体" w:hAnsi="宋体" w:eastAsia="方正小标宋_GBK"/>
          <w:sz w:val="44"/>
          <w:szCs w:val="44"/>
        </w:rPr>
      </w:pPr>
      <w:r>
        <w:rPr>
          <w:rFonts w:hint="eastAsia" w:ascii="宋体" w:hAnsi="宋体" w:eastAsia="方正小标宋_GBK"/>
          <w:sz w:val="44"/>
          <w:szCs w:val="44"/>
        </w:rPr>
        <w:t>商标代理行业专项整治行动数据统计表</w:t>
      </w:r>
    </w:p>
    <w:p>
      <w:pPr>
        <w:widowControl/>
        <w:shd w:val="clear" w:color="auto" w:fill="FFFFFF"/>
        <w:wordWrap w:val="0"/>
        <w:autoSpaceDE/>
        <w:autoSpaceDN/>
        <w:snapToGrid/>
        <w:spacing w:before="100" w:beforeAutospacing="1" w:after="100" w:afterAutospacing="1" w:line="240" w:lineRule="auto"/>
        <w:ind w:firstLine="0"/>
        <w:rPr>
          <w:rFonts w:ascii="宋体" w:hAnsi="宋体" w:cs="宋体"/>
          <w:snapToGrid/>
          <w:color w:val="000000"/>
          <w:sz w:val="27"/>
          <w:szCs w:val="27"/>
        </w:rPr>
      </w:pPr>
      <w:r>
        <w:rPr>
          <w:rFonts w:hint="eastAsia" w:ascii="宋体" w:hAnsi="宋体" w:cs="宋体"/>
          <w:snapToGrid/>
          <w:color w:val="000000"/>
          <w:sz w:val="28"/>
          <w:szCs w:val="28"/>
        </w:rPr>
        <w:t xml:space="preserve">填报单位： </w:t>
      </w:r>
      <w:r>
        <w:rPr>
          <w:rFonts w:ascii="宋体" w:hAnsi="宋体" w:cs="宋体"/>
          <w:snapToGrid/>
          <w:color w:val="000000"/>
          <w:sz w:val="28"/>
          <w:szCs w:val="28"/>
        </w:rPr>
        <w:t xml:space="preserve">  </w:t>
      </w:r>
      <w:r>
        <w:rPr>
          <w:rFonts w:hint="eastAsia" w:ascii="宋体" w:hAnsi="宋体" w:cs="Calibri"/>
          <w:snapToGrid/>
          <w:color w:val="000000"/>
          <w:sz w:val="28"/>
          <w:szCs w:val="28"/>
        </w:rPr>
        <w:t>  </w:t>
      </w:r>
      <w:r>
        <w:rPr>
          <w:rFonts w:hint="eastAsia" w:ascii="宋体" w:hAnsi="宋体" w:cs="宋体"/>
          <w:snapToGrid/>
          <w:color w:val="000000"/>
          <w:sz w:val="28"/>
          <w:szCs w:val="28"/>
        </w:rPr>
        <w:t xml:space="preserve">填报人： </w:t>
      </w:r>
      <w:r>
        <w:rPr>
          <w:rFonts w:hint="eastAsia" w:ascii="宋体" w:hAnsi="宋体" w:cs="Calibri"/>
          <w:snapToGrid/>
          <w:color w:val="000000"/>
          <w:sz w:val="28"/>
          <w:szCs w:val="28"/>
        </w:rPr>
        <w:t>    </w:t>
      </w:r>
      <w:r>
        <w:rPr>
          <w:rFonts w:hint="eastAsia" w:ascii="宋体" w:hAnsi="宋体" w:cs="宋体"/>
          <w:snapToGrid/>
          <w:color w:val="000000"/>
          <w:sz w:val="28"/>
          <w:szCs w:val="28"/>
        </w:rPr>
        <w:t>填报日期：</w:t>
      </w:r>
      <w:r>
        <w:rPr>
          <w:rFonts w:hint="eastAsia" w:ascii="宋体" w:hAnsi="宋体" w:cs="Calibri"/>
          <w:snapToGrid/>
          <w:color w:val="000000"/>
          <w:sz w:val="28"/>
          <w:szCs w:val="28"/>
        </w:rPr>
        <w:t>  </w:t>
      </w:r>
      <w:r>
        <w:rPr>
          <w:rFonts w:hint="eastAsia" w:ascii="宋体" w:hAnsi="宋体" w:cs="宋体"/>
          <w:snapToGrid/>
          <w:color w:val="000000"/>
          <w:sz w:val="28"/>
          <w:szCs w:val="28"/>
        </w:rPr>
        <w:t>年</w:t>
      </w:r>
      <w:r>
        <w:rPr>
          <w:rFonts w:hint="eastAsia" w:ascii="宋体" w:hAnsi="宋体" w:cs="Calibri"/>
          <w:snapToGrid/>
          <w:color w:val="000000"/>
          <w:sz w:val="28"/>
          <w:szCs w:val="28"/>
        </w:rPr>
        <w:t>  </w:t>
      </w:r>
      <w:r>
        <w:rPr>
          <w:rFonts w:hint="eastAsia" w:ascii="宋体" w:hAnsi="宋体" w:cs="宋体"/>
          <w:snapToGrid/>
          <w:color w:val="000000"/>
          <w:sz w:val="28"/>
          <w:szCs w:val="28"/>
        </w:rPr>
        <w:t>月</w:t>
      </w:r>
      <w:r>
        <w:rPr>
          <w:rFonts w:hint="eastAsia" w:ascii="宋体" w:hAnsi="宋体" w:cs="Calibri"/>
          <w:snapToGrid/>
          <w:color w:val="000000"/>
          <w:sz w:val="28"/>
          <w:szCs w:val="28"/>
        </w:rPr>
        <w:t>  </w:t>
      </w:r>
      <w:r>
        <w:rPr>
          <w:rFonts w:hint="eastAsia" w:ascii="宋体" w:hAnsi="宋体" w:cs="宋体"/>
          <w:snapToGrid/>
          <w:color w:val="000000"/>
          <w:sz w:val="28"/>
          <w:szCs w:val="28"/>
        </w:rPr>
        <w:t>日</w:t>
      </w:r>
      <w:r>
        <w:rPr>
          <w:rFonts w:hint="eastAsia" w:ascii="宋体" w:hAnsi="宋体" w:cs="Calibri"/>
          <w:snapToGrid/>
          <w:color w:val="000000"/>
          <w:sz w:val="27"/>
          <w:szCs w:val="27"/>
        </w:rPr>
        <w:t> </w:t>
      </w:r>
    </w:p>
    <w:tbl>
      <w:tblPr>
        <w:tblStyle w:val="8"/>
        <w:tblW w:w="5085" w:type="pct"/>
        <w:jc w:val="center"/>
        <w:tblCellSpacing w:w="0" w:type="dxa"/>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Layout w:type="autofit"/>
        <w:tblCellMar>
          <w:top w:w="15" w:type="dxa"/>
          <w:left w:w="15" w:type="dxa"/>
          <w:bottom w:w="15" w:type="dxa"/>
          <w:right w:w="15" w:type="dxa"/>
        </w:tblCellMar>
      </w:tblPr>
      <w:tblGrid>
        <w:gridCol w:w="957"/>
        <w:gridCol w:w="5114"/>
        <w:gridCol w:w="1527"/>
        <w:gridCol w:w="1437"/>
      </w:tblGrid>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Align w:val="center"/>
          </w:tcPr>
          <w:p>
            <w:pPr>
              <w:widowControl/>
              <w:autoSpaceDE/>
              <w:autoSpaceDN/>
              <w:snapToGrid/>
              <w:spacing w:line="0" w:lineRule="atLeast"/>
              <w:ind w:firstLine="0"/>
              <w:jc w:val="left"/>
              <w:rPr>
                <w:rFonts w:ascii="宋体" w:hAnsi="宋体" w:eastAsia="方正黑体_GBK" w:cs="宋体"/>
                <w:snapToGrid/>
                <w:color w:val="000000"/>
                <w:sz w:val="28"/>
                <w:szCs w:val="28"/>
              </w:rPr>
            </w:pPr>
            <w:r>
              <w:rPr>
                <w:rFonts w:hint="eastAsia" w:ascii="宋体" w:hAnsi="宋体" w:eastAsia="方正黑体_GBK" w:cs="宋体"/>
                <w:snapToGrid/>
                <w:color w:val="000000"/>
                <w:sz w:val="28"/>
                <w:szCs w:val="28"/>
              </w:rPr>
              <w:t>序号</w:t>
            </w:r>
          </w:p>
        </w:tc>
        <w:tc>
          <w:tcPr>
            <w:tcW w:w="2830" w:type="pct"/>
            <w:vAlign w:val="center"/>
          </w:tcPr>
          <w:p>
            <w:pPr>
              <w:widowControl/>
              <w:autoSpaceDE/>
              <w:autoSpaceDN/>
              <w:snapToGrid/>
              <w:spacing w:line="0" w:lineRule="atLeast"/>
              <w:ind w:firstLine="0"/>
              <w:jc w:val="left"/>
              <w:rPr>
                <w:rFonts w:ascii="宋体" w:hAnsi="宋体" w:eastAsia="方正黑体_GBK" w:cs="宋体"/>
                <w:snapToGrid/>
                <w:color w:val="000000"/>
                <w:sz w:val="28"/>
                <w:szCs w:val="28"/>
              </w:rPr>
            </w:pPr>
            <w:r>
              <w:rPr>
                <w:rFonts w:hint="eastAsia" w:ascii="宋体" w:hAnsi="宋体" w:eastAsia="方正黑体_GBK" w:cs="宋体"/>
                <w:snapToGrid/>
                <w:color w:val="000000"/>
                <w:sz w:val="28"/>
                <w:szCs w:val="28"/>
              </w:rPr>
              <w:t>类别</w:t>
            </w:r>
          </w:p>
        </w:tc>
        <w:tc>
          <w:tcPr>
            <w:tcW w:w="845" w:type="pct"/>
            <w:vAlign w:val="center"/>
          </w:tcPr>
          <w:p>
            <w:pPr>
              <w:widowControl/>
              <w:autoSpaceDE/>
              <w:autoSpaceDN/>
              <w:snapToGrid/>
              <w:spacing w:line="0" w:lineRule="atLeast"/>
              <w:ind w:firstLine="0"/>
              <w:jc w:val="left"/>
              <w:rPr>
                <w:rFonts w:ascii="宋体" w:hAnsi="宋体" w:eastAsia="方正黑体_GBK" w:cs="宋体"/>
                <w:snapToGrid/>
                <w:color w:val="000000"/>
                <w:sz w:val="28"/>
                <w:szCs w:val="28"/>
              </w:rPr>
            </w:pPr>
            <w:r>
              <w:rPr>
                <w:rFonts w:hint="eastAsia" w:ascii="宋体" w:hAnsi="宋体" w:eastAsia="方正黑体_GBK" w:cs="宋体"/>
                <w:snapToGrid/>
                <w:color w:val="000000"/>
                <w:sz w:val="28"/>
                <w:szCs w:val="28"/>
              </w:rPr>
              <w:t>单位</w:t>
            </w:r>
          </w:p>
        </w:tc>
        <w:tc>
          <w:tcPr>
            <w:tcW w:w="795" w:type="pct"/>
            <w:vAlign w:val="center"/>
          </w:tcPr>
          <w:p>
            <w:pPr>
              <w:widowControl/>
              <w:autoSpaceDE/>
              <w:autoSpaceDN/>
              <w:snapToGrid/>
              <w:spacing w:line="0" w:lineRule="atLeast"/>
              <w:ind w:firstLine="0"/>
              <w:jc w:val="left"/>
              <w:rPr>
                <w:rFonts w:ascii="宋体" w:hAnsi="宋体" w:eastAsia="方正黑体_GBK" w:cs="宋体"/>
                <w:snapToGrid/>
                <w:color w:val="000000"/>
                <w:sz w:val="28"/>
                <w:szCs w:val="28"/>
              </w:rPr>
            </w:pPr>
            <w:r>
              <w:rPr>
                <w:rFonts w:hint="eastAsia" w:ascii="宋体" w:hAnsi="宋体" w:eastAsia="方正黑体_GBK" w:cs="宋体"/>
                <w:snapToGrid/>
                <w:color w:val="000000"/>
                <w:sz w:val="28"/>
                <w:szCs w:val="28"/>
              </w:rPr>
              <w:t>数量</w:t>
            </w: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rHeight w:val="621" w:hRule="atLeast"/>
          <w:tblCellSpacing w:w="0" w:type="dxa"/>
          <w:jc w:val="center"/>
        </w:trPr>
        <w:tc>
          <w:tcPr>
            <w:tcW w:w="5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1</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检查代理机构</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个</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2</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走访办理涉商标业务的市场主体</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个</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3</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约谈代理机构</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个</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Merge w:val="restar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4</w:t>
            </w:r>
          </w:p>
          <w:p>
            <w:pPr>
              <w:widowControl/>
              <w:autoSpaceDE/>
              <w:autoSpaceDN/>
              <w:snapToGrid/>
              <w:spacing w:line="0" w:lineRule="atLeast"/>
              <w:ind w:firstLine="0"/>
              <w:jc w:val="left"/>
              <w:rPr>
                <w:rFonts w:ascii="宋体" w:hAnsi="宋体" w:cs="宋体"/>
                <w:snapToGrid/>
                <w:color w:val="000000"/>
                <w:sz w:val="28"/>
                <w:szCs w:val="28"/>
              </w:rPr>
            </w:pP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收集案件线索</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条</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Merge w:val="continue"/>
            <w:vAlign w:val="center"/>
          </w:tcPr>
          <w:p>
            <w:pPr>
              <w:widowControl/>
              <w:autoSpaceDE/>
              <w:autoSpaceDN/>
              <w:snapToGrid/>
              <w:spacing w:line="0" w:lineRule="atLeast"/>
              <w:ind w:firstLine="0"/>
              <w:jc w:val="left"/>
              <w:rPr>
                <w:rFonts w:ascii="宋体" w:hAnsi="宋体" w:cs="宋体"/>
                <w:snapToGrid/>
                <w:color w:val="000000"/>
                <w:sz w:val="28"/>
                <w:szCs w:val="28"/>
              </w:rPr>
            </w:pP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其中：12315等公共服务平台受理投诉举报线索</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条</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Merge w:val="continue"/>
            <w:vAlign w:val="center"/>
          </w:tcPr>
          <w:p>
            <w:pPr>
              <w:widowControl/>
              <w:autoSpaceDE/>
              <w:autoSpaceDN/>
              <w:snapToGrid/>
              <w:spacing w:line="0" w:lineRule="atLeast"/>
              <w:ind w:firstLine="0"/>
              <w:jc w:val="left"/>
              <w:rPr>
                <w:rFonts w:ascii="宋体" w:hAnsi="宋体" w:cs="宋体"/>
                <w:snapToGrid/>
                <w:color w:val="000000"/>
                <w:sz w:val="28"/>
                <w:szCs w:val="28"/>
              </w:rPr>
            </w:pP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处理国家局或其它地区转办线索</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条</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Merge w:val="continue"/>
            <w:vAlign w:val="center"/>
          </w:tcPr>
          <w:p>
            <w:pPr>
              <w:widowControl/>
              <w:autoSpaceDE/>
              <w:autoSpaceDN/>
              <w:snapToGrid/>
              <w:spacing w:line="0" w:lineRule="atLeast"/>
              <w:ind w:firstLine="0"/>
              <w:jc w:val="left"/>
              <w:rPr>
                <w:rFonts w:ascii="宋体" w:hAnsi="宋体" w:cs="宋体"/>
                <w:snapToGrid/>
                <w:color w:val="000000"/>
                <w:sz w:val="28"/>
                <w:szCs w:val="28"/>
              </w:rPr>
            </w:pP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移送外地违法线索</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条</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Merge w:val="restar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5</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查处商标代理违法案件</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件</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Merge w:val="continue"/>
            <w:vAlign w:val="center"/>
          </w:tcPr>
          <w:p>
            <w:pPr>
              <w:widowControl/>
              <w:autoSpaceDE/>
              <w:autoSpaceDN/>
              <w:snapToGrid/>
              <w:spacing w:line="0" w:lineRule="atLeast"/>
              <w:ind w:firstLine="0"/>
              <w:jc w:val="left"/>
              <w:rPr>
                <w:rFonts w:ascii="宋体" w:hAnsi="宋体" w:cs="宋体"/>
                <w:snapToGrid/>
                <w:color w:val="000000"/>
                <w:sz w:val="28"/>
                <w:szCs w:val="28"/>
              </w:rPr>
            </w:pP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其中：查处商标代理机构代理人员案件</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件</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6</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下达行政处罚决定书案件</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件</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7</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处罚金额</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万元</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8</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移送司法机关案件</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件</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9</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组织座谈、案例评析活动</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次</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10</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开展商标代理监督管理规定等法律法规宣贯</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次</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r>
        <w:tblPrEx>
          <w:tblBorders>
            <w:top w:val="single" w:color="auto" w:sz="2" w:space="0"/>
            <w:left w:val="single" w:color="auto" w:sz="2" w:space="0"/>
            <w:bottom w:val="single" w:color="auto" w:sz="4" w:space="0"/>
            <w:right w:val="single" w:color="auto" w:sz="2" w:space="0"/>
            <w:insideH w:val="single" w:color="auto" w:sz="2" w:space="0"/>
            <w:insideV w:val="single" w:color="auto" w:sz="4" w:space="0"/>
          </w:tblBorders>
          <w:tblCellMar>
            <w:top w:w="15" w:type="dxa"/>
            <w:left w:w="15" w:type="dxa"/>
            <w:bottom w:w="15" w:type="dxa"/>
            <w:right w:w="15" w:type="dxa"/>
          </w:tblCellMar>
        </w:tblPrEx>
        <w:trPr>
          <w:tblCellSpacing w:w="0" w:type="dxa"/>
          <w:jc w:val="center"/>
        </w:trPr>
        <w:tc>
          <w:tcPr>
            <w:tcW w:w="5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11</w:t>
            </w:r>
          </w:p>
        </w:tc>
        <w:tc>
          <w:tcPr>
            <w:tcW w:w="2830"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组织开展宣传活动形式</w:t>
            </w:r>
          </w:p>
        </w:tc>
        <w:tc>
          <w:tcPr>
            <w:tcW w:w="845" w:type="pct"/>
            <w:vAlign w:val="center"/>
          </w:tcPr>
          <w:p>
            <w:pPr>
              <w:widowControl/>
              <w:autoSpaceDE/>
              <w:autoSpaceDN/>
              <w:snapToGrid/>
              <w:spacing w:line="0" w:lineRule="atLeast"/>
              <w:ind w:firstLine="0"/>
              <w:jc w:val="left"/>
              <w:rPr>
                <w:rFonts w:ascii="宋体" w:hAnsi="宋体" w:cs="宋体"/>
                <w:snapToGrid/>
                <w:color w:val="000000"/>
                <w:sz w:val="28"/>
                <w:szCs w:val="28"/>
              </w:rPr>
            </w:pPr>
            <w:r>
              <w:rPr>
                <w:rFonts w:hint="eastAsia" w:ascii="宋体" w:hAnsi="宋体" w:cs="宋体"/>
                <w:snapToGrid/>
                <w:color w:val="000000"/>
                <w:sz w:val="28"/>
                <w:szCs w:val="28"/>
              </w:rPr>
              <w:t>次</w:t>
            </w:r>
          </w:p>
        </w:tc>
        <w:tc>
          <w:tcPr>
            <w:tcW w:w="795" w:type="pct"/>
            <w:vAlign w:val="center"/>
          </w:tcPr>
          <w:p>
            <w:pPr>
              <w:widowControl/>
              <w:autoSpaceDE/>
              <w:autoSpaceDN/>
              <w:snapToGrid/>
              <w:spacing w:line="0" w:lineRule="atLeast"/>
              <w:ind w:firstLine="0"/>
              <w:jc w:val="left"/>
              <w:rPr>
                <w:rFonts w:ascii="宋体" w:hAnsi="宋体" w:cs="宋体"/>
                <w:snapToGrid/>
                <w:color w:val="000000"/>
                <w:sz w:val="28"/>
                <w:szCs w:val="28"/>
              </w:rPr>
            </w:pPr>
          </w:p>
        </w:tc>
      </w:tr>
    </w:tbl>
    <w:p>
      <w:pPr>
        <w:rPr>
          <w:rFonts w:ascii="宋体" w:hAnsi="宋体"/>
        </w:rPr>
      </w:pPr>
    </w:p>
    <w:p>
      <w:pPr>
        <w:widowControl/>
        <w:autoSpaceDE/>
        <w:autoSpaceDN/>
        <w:snapToGrid/>
        <w:spacing w:line="240" w:lineRule="auto"/>
        <w:ind w:firstLine="0"/>
        <w:jc w:val="left"/>
        <w:rPr>
          <w:rFonts w:ascii="宋体" w:hAnsi="宋体"/>
        </w:rPr>
      </w:pPr>
      <w:r>
        <w:rPr>
          <w:rFonts w:ascii="宋体" w:hAnsi="宋体"/>
        </w:rPr>
        <w:br w:type="page"/>
      </w:r>
    </w:p>
    <w:p>
      <w:pPr>
        <w:rPr>
          <w:rFonts w:ascii="宋体" w:hAnsi="宋体" w:eastAsia="方正黑体_GBK"/>
        </w:rPr>
      </w:pPr>
      <w:r>
        <w:rPr>
          <w:rFonts w:hint="eastAsia" w:ascii="宋体" w:hAnsi="宋体" w:eastAsia="方正黑体_GBK"/>
        </w:rPr>
        <w:t>附件</w:t>
      </w:r>
      <w:r>
        <w:rPr>
          <w:rFonts w:ascii="宋体" w:hAnsi="宋体" w:eastAsia="方正黑体_GBK"/>
        </w:rPr>
        <w:t>3</w:t>
      </w:r>
    </w:p>
    <w:p>
      <w:pPr>
        <w:widowControl/>
        <w:shd w:val="clear" w:color="auto" w:fill="FFFFFF"/>
        <w:wordWrap w:val="0"/>
        <w:autoSpaceDE/>
        <w:autoSpaceDN/>
        <w:snapToGrid/>
        <w:spacing w:before="100" w:beforeAutospacing="1" w:after="100" w:afterAutospacing="1" w:line="240" w:lineRule="auto"/>
        <w:ind w:firstLine="0"/>
        <w:jc w:val="center"/>
        <w:rPr>
          <w:rFonts w:ascii="宋体" w:hAnsi="宋体" w:eastAsia="仿宋" w:cs="宋体"/>
          <w:bCs/>
          <w:snapToGrid/>
          <w:color w:val="000000"/>
          <w:sz w:val="28"/>
          <w:szCs w:val="28"/>
        </w:rPr>
      </w:pPr>
      <w:r>
        <w:rPr>
          <w:rFonts w:hint="eastAsia" w:ascii="宋体" w:hAnsi="宋体" w:eastAsia="方正小标宋_GBK"/>
          <w:sz w:val="44"/>
          <w:szCs w:val="44"/>
        </w:rPr>
        <w:t>典型案例推荐表</w:t>
      </w:r>
    </w:p>
    <w:tbl>
      <w:tblPr>
        <w:tblStyle w:val="8"/>
        <w:tblW w:w="8921" w:type="dxa"/>
        <w:tblInd w:w="0" w:type="dxa"/>
        <w:shd w:val="clear" w:color="auto" w:fill="FFFFFF"/>
        <w:tblLayout w:type="autofit"/>
        <w:tblCellMar>
          <w:top w:w="15" w:type="dxa"/>
          <w:left w:w="15" w:type="dxa"/>
          <w:bottom w:w="15" w:type="dxa"/>
          <w:right w:w="15" w:type="dxa"/>
        </w:tblCellMar>
      </w:tblPr>
      <w:tblGrid>
        <w:gridCol w:w="3460"/>
        <w:gridCol w:w="5461"/>
      </w:tblGrid>
      <w:tr>
        <w:tblPrEx>
          <w:tblCellMar>
            <w:top w:w="15" w:type="dxa"/>
            <w:left w:w="15" w:type="dxa"/>
            <w:bottom w:w="15" w:type="dxa"/>
            <w:right w:w="15" w:type="dxa"/>
          </w:tblCellMar>
        </w:tblPrEx>
        <w:trPr>
          <w:trHeight w:val="703" w:hRule="atLeast"/>
        </w:trPr>
        <w:tc>
          <w:tcPr>
            <w:tcW w:w="1939" w:type="pc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推荐单位</w:t>
            </w:r>
          </w:p>
        </w:tc>
        <w:tc>
          <w:tcPr>
            <w:tcW w:w="3061" w:type="pc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Calibri"/>
                <w:snapToGrid/>
                <w:color w:val="000000"/>
                <w:sz w:val="24"/>
                <w:szCs w:val="24"/>
              </w:rPr>
              <w:t> </w:t>
            </w:r>
          </w:p>
        </w:tc>
      </w:tr>
      <w:tr>
        <w:tblPrEx>
          <w:shd w:val="clear" w:color="auto" w:fill="FFFFFF"/>
          <w:tblCellMar>
            <w:top w:w="15" w:type="dxa"/>
            <w:left w:w="15" w:type="dxa"/>
            <w:bottom w:w="15" w:type="dxa"/>
            <w:right w:w="15" w:type="dxa"/>
          </w:tblCellMar>
        </w:tblPrEx>
        <w:trPr>
          <w:trHeight w:val="647" w:hRule="atLeast"/>
        </w:trPr>
        <w:tc>
          <w:tcPr>
            <w:tcW w:w="193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案例名称</w:t>
            </w:r>
          </w:p>
        </w:tc>
        <w:tc>
          <w:tcPr>
            <w:tcW w:w="3061"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Calibri"/>
                <w:snapToGrid/>
                <w:color w:val="000000"/>
                <w:sz w:val="21"/>
                <w:szCs w:val="21"/>
              </w:rPr>
              <w:t> </w:t>
            </w:r>
          </w:p>
        </w:tc>
      </w:tr>
      <w:tr>
        <w:tblPrEx>
          <w:shd w:val="clear" w:color="auto" w:fill="FFFFFF"/>
          <w:tblCellMar>
            <w:top w:w="15" w:type="dxa"/>
            <w:left w:w="15" w:type="dxa"/>
            <w:bottom w:w="15" w:type="dxa"/>
            <w:right w:w="15" w:type="dxa"/>
          </w:tblCellMar>
        </w:tblPrEx>
        <w:trPr>
          <w:trHeight w:val="270" w:hRule="atLeast"/>
        </w:trPr>
        <w:tc>
          <w:tcPr>
            <w:tcW w:w="193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办案部门</w:t>
            </w:r>
          </w:p>
        </w:tc>
        <w:tc>
          <w:tcPr>
            <w:tcW w:w="3061"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Calibri"/>
                <w:snapToGrid/>
                <w:color w:val="000000"/>
                <w:sz w:val="24"/>
                <w:szCs w:val="24"/>
              </w:rPr>
              <w:t> </w:t>
            </w:r>
          </w:p>
        </w:tc>
      </w:tr>
      <w:tr>
        <w:tblPrEx>
          <w:shd w:val="clear" w:color="auto" w:fill="FFFFFF"/>
          <w:tblCellMar>
            <w:top w:w="15" w:type="dxa"/>
            <w:left w:w="15" w:type="dxa"/>
            <w:bottom w:w="15" w:type="dxa"/>
            <w:right w:w="15" w:type="dxa"/>
          </w:tblCellMar>
        </w:tblPrEx>
        <w:trPr>
          <w:trHeight w:val="270" w:hRule="atLeast"/>
        </w:trPr>
        <w:tc>
          <w:tcPr>
            <w:tcW w:w="193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办案人员</w:t>
            </w:r>
          </w:p>
        </w:tc>
        <w:tc>
          <w:tcPr>
            <w:tcW w:w="3061"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Calibri"/>
                <w:snapToGrid/>
                <w:color w:val="000000"/>
                <w:sz w:val="24"/>
                <w:szCs w:val="24"/>
              </w:rPr>
              <w:t> </w:t>
            </w:r>
          </w:p>
        </w:tc>
      </w:tr>
      <w:tr>
        <w:tblPrEx>
          <w:shd w:val="clear" w:color="auto" w:fill="FFFFFF"/>
          <w:tblCellMar>
            <w:top w:w="15" w:type="dxa"/>
            <w:left w:w="15" w:type="dxa"/>
            <w:bottom w:w="15" w:type="dxa"/>
            <w:right w:w="15" w:type="dxa"/>
          </w:tblCellMar>
        </w:tblPrEx>
        <w:trPr>
          <w:trHeight w:val="270" w:hRule="atLeast"/>
        </w:trPr>
        <w:tc>
          <w:tcPr>
            <w:tcW w:w="193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结案时间</w:t>
            </w:r>
          </w:p>
        </w:tc>
        <w:tc>
          <w:tcPr>
            <w:tcW w:w="3061"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Calibri"/>
                <w:snapToGrid/>
                <w:color w:val="000000"/>
                <w:sz w:val="24"/>
                <w:szCs w:val="24"/>
              </w:rPr>
              <w:t> </w:t>
            </w:r>
          </w:p>
        </w:tc>
      </w:tr>
      <w:tr>
        <w:tblPrEx>
          <w:shd w:val="clear" w:color="auto" w:fill="FFFFFF"/>
          <w:tblCellMar>
            <w:top w:w="15" w:type="dxa"/>
            <w:left w:w="15" w:type="dxa"/>
            <w:bottom w:w="15" w:type="dxa"/>
            <w:right w:w="15" w:type="dxa"/>
          </w:tblCellMar>
        </w:tblPrEx>
        <w:trPr>
          <w:trHeight w:val="1615" w:hRule="atLeast"/>
        </w:trPr>
        <w:tc>
          <w:tcPr>
            <w:tcW w:w="193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400" w:lineRule="atLeast"/>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案情简介</w:t>
            </w:r>
          </w:p>
          <w:p>
            <w:pPr>
              <w:widowControl/>
              <w:wordWrap w:val="0"/>
              <w:autoSpaceDE/>
              <w:autoSpaceDN/>
              <w:snapToGrid/>
              <w:spacing w:before="100" w:beforeAutospacing="1" w:after="100" w:afterAutospacing="1" w:line="400" w:lineRule="atLeast"/>
              <w:ind w:firstLine="0"/>
              <w:jc w:val="center"/>
              <w:rPr>
                <w:rFonts w:ascii="宋体" w:hAnsi="宋体" w:cs="宋体"/>
                <w:snapToGrid/>
                <w:color w:val="000000"/>
                <w:sz w:val="28"/>
                <w:szCs w:val="28"/>
              </w:rPr>
            </w:pPr>
            <w:r>
              <w:rPr>
                <w:rFonts w:hint="eastAsia" w:ascii="宋体" w:hAnsi="宋体" w:cs="宋体"/>
                <w:snapToGrid/>
                <w:color w:val="000000"/>
                <w:sz w:val="28"/>
                <w:szCs w:val="28"/>
              </w:rPr>
              <w:t>（1500字以内）</w:t>
            </w:r>
          </w:p>
        </w:tc>
        <w:tc>
          <w:tcPr>
            <w:tcW w:w="3061"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480"/>
              <w:jc w:val="center"/>
              <w:rPr>
                <w:rFonts w:ascii="宋体" w:hAnsi="宋体" w:cs="宋体"/>
                <w:snapToGrid/>
                <w:color w:val="000000"/>
                <w:sz w:val="28"/>
                <w:szCs w:val="28"/>
              </w:rPr>
            </w:pPr>
            <w:r>
              <w:rPr>
                <w:rFonts w:hint="eastAsia" w:ascii="宋体" w:hAnsi="宋体" w:cs="Calibri"/>
                <w:snapToGrid/>
                <w:color w:val="000000"/>
                <w:sz w:val="24"/>
                <w:szCs w:val="24"/>
              </w:rPr>
              <w:t> </w:t>
            </w:r>
          </w:p>
        </w:tc>
      </w:tr>
      <w:tr>
        <w:tblPrEx>
          <w:shd w:val="clear" w:color="auto" w:fill="FFFFFF"/>
          <w:tblCellMar>
            <w:top w:w="15" w:type="dxa"/>
            <w:left w:w="15" w:type="dxa"/>
            <w:bottom w:w="15" w:type="dxa"/>
            <w:right w:w="15" w:type="dxa"/>
          </w:tblCellMar>
        </w:tblPrEx>
        <w:trPr>
          <w:trHeight w:val="2463" w:hRule="atLeast"/>
        </w:trPr>
        <w:tc>
          <w:tcPr>
            <w:tcW w:w="193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400" w:lineRule="atLeast"/>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典型意义</w:t>
            </w:r>
          </w:p>
          <w:p>
            <w:pPr>
              <w:widowControl/>
              <w:wordWrap w:val="0"/>
              <w:autoSpaceDE/>
              <w:autoSpaceDN/>
              <w:snapToGrid/>
              <w:spacing w:before="100" w:beforeAutospacing="1" w:after="100" w:afterAutospacing="1" w:line="400" w:lineRule="atLeast"/>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（约300字）</w:t>
            </w:r>
          </w:p>
        </w:tc>
        <w:tc>
          <w:tcPr>
            <w:tcW w:w="3061"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Calibri"/>
                <w:snapToGrid/>
                <w:color w:val="000000"/>
                <w:sz w:val="24"/>
                <w:szCs w:val="24"/>
              </w:rPr>
              <w:t> </w:t>
            </w:r>
            <w:r>
              <w:rPr>
                <w:rFonts w:hint="eastAsia" w:ascii="宋体" w:hAnsi="宋体" w:cs="宋体"/>
                <w:snapToGrid/>
                <w:color w:val="000000"/>
                <w:sz w:val="28"/>
                <w:szCs w:val="28"/>
              </w:rPr>
              <w:t>（对案件的典型性、代表性和影响力等进行评价）</w:t>
            </w:r>
          </w:p>
        </w:tc>
      </w:tr>
      <w:tr>
        <w:tblPrEx>
          <w:shd w:val="clear" w:color="auto" w:fill="FFFFFF"/>
          <w:tblCellMar>
            <w:top w:w="15" w:type="dxa"/>
            <w:left w:w="15" w:type="dxa"/>
            <w:bottom w:w="15" w:type="dxa"/>
            <w:right w:w="15" w:type="dxa"/>
          </w:tblCellMar>
        </w:tblPrEx>
        <w:trPr>
          <w:trHeight w:val="1013" w:hRule="atLeast"/>
        </w:trPr>
        <w:tc>
          <w:tcPr>
            <w:tcW w:w="193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400" w:lineRule="atLeast"/>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推荐单位</w:t>
            </w:r>
          </w:p>
          <w:p>
            <w:pPr>
              <w:widowControl/>
              <w:wordWrap w:val="0"/>
              <w:autoSpaceDE/>
              <w:autoSpaceDN/>
              <w:snapToGrid/>
              <w:spacing w:before="100" w:beforeAutospacing="1" w:after="100" w:afterAutospacing="1" w:line="400" w:lineRule="atLeast"/>
              <w:ind w:firstLine="0"/>
              <w:jc w:val="center"/>
              <w:textAlignment w:val="center"/>
              <w:rPr>
                <w:rFonts w:ascii="宋体" w:hAnsi="宋体" w:cs="宋体"/>
                <w:snapToGrid/>
                <w:color w:val="000000"/>
                <w:sz w:val="28"/>
                <w:szCs w:val="28"/>
              </w:rPr>
            </w:pPr>
            <w:r>
              <w:rPr>
                <w:rFonts w:hint="eastAsia" w:ascii="宋体" w:hAnsi="宋体" w:cs="宋体"/>
                <w:snapToGrid/>
                <w:color w:val="000000"/>
                <w:sz w:val="28"/>
                <w:szCs w:val="28"/>
              </w:rPr>
              <w:t>意见</w:t>
            </w:r>
          </w:p>
        </w:tc>
        <w:tc>
          <w:tcPr>
            <w:tcW w:w="3061"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240" w:lineRule="auto"/>
              <w:ind w:firstLine="0"/>
              <w:jc w:val="center"/>
              <w:rPr>
                <w:rFonts w:ascii="宋体" w:hAnsi="宋体" w:cs="宋体"/>
                <w:snapToGrid/>
                <w:color w:val="000000"/>
                <w:sz w:val="28"/>
                <w:szCs w:val="28"/>
              </w:rPr>
            </w:pPr>
            <w:r>
              <w:rPr>
                <w:rFonts w:hint="eastAsia" w:ascii="宋体" w:hAnsi="宋体" w:cs="Calibri"/>
                <w:snapToGrid/>
                <w:color w:val="000000"/>
                <w:sz w:val="24"/>
                <w:szCs w:val="24"/>
              </w:rPr>
              <w:t> </w:t>
            </w:r>
          </w:p>
        </w:tc>
      </w:tr>
      <w:tr>
        <w:tblPrEx>
          <w:shd w:val="clear" w:color="auto" w:fill="FFFFFF"/>
          <w:tblCellMar>
            <w:top w:w="15" w:type="dxa"/>
            <w:left w:w="15" w:type="dxa"/>
            <w:bottom w:w="15" w:type="dxa"/>
            <w:right w:w="15" w:type="dxa"/>
          </w:tblCellMar>
        </w:tblPrEx>
        <w:trPr>
          <w:trHeight w:val="465" w:hRule="atLeast"/>
        </w:trPr>
        <w:tc>
          <w:tcPr>
            <w:tcW w:w="193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400" w:lineRule="atLeast"/>
              <w:ind w:firstLine="0"/>
              <w:jc w:val="center"/>
              <w:rPr>
                <w:rFonts w:ascii="宋体" w:hAnsi="宋体" w:cs="宋体"/>
                <w:snapToGrid/>
                <w:color w:val="000000"/>
                <w:sz w:val="28"/>
                <w:szCs w:val="28"/>
              </w:rPr>
            </w:pPr>
            <w:r>
              <w:rPr>
                <w:rFonts w:hint="eastAsia" w:ascii="宋体" w:hAnsi="宋体" w:cs="宋体"/>
                <w:snapToGrid/>
                <w:color w:val="000000"/>
                <w:sz w:val="28"/>
                <w:szCs w:val="28"/>
              </w:rPr>
              <w:t>备注</w:t>
            </w:r>
          </w:p>
        </w:tc>
        <w:tc>
          <w:tcPr>
            <w:tcW w:w="3061"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widowControl/>
              <w:wordWrap w:val="0"/>
              <w:autoSpaceDE/>
              <w:autoSpaceDN/>
              <w:snapToGrid/>
              <w:spacing w:before="100" w:beforeAutospacing="1" w:after="100" w:afterAutospacing="1" w:line="400" w:lineRule="atLeast"/>
              <w:ind w:firstLine="0"/>
              <w:jc w:val="center"/>
              <w:rPr>
                <w:rFonts w:ascii="宋体" w:hAnsi="宋体" w:cs="宋体"/>
                <w:snapToGrid/>
                <w:color w:val="000000"/>
                <w:sz w:val="28"/>
                <w:szCs w:val="28"/>
              </w:rPr>
            </w:pPr>
            <w:r>
              <w:rPr>
                <w:rFonts w:hint="eastAsia" w:ascii="宋体" w:hAnsi="宋体" w:cs="宋体"/>
                <w:snapToGrid/>
                <w:color w:val="000000"/>
                <w:sz w:val="28"/>
                <w:szCs w:val="28"/>
              </w:rPr>
              <w:t>（推荐单位联系人及联系电话）</w:t>
            </w:r>
          </w:p>
        </w:tc>
      </w:tr>
    </w:tbl>
    <w:p>
      <w:pPr>
        <w:rPr>
          <w:rFonts w:ascii="宋体" w:hAnsi="宋体"/>
        </w:rPr>
      </w:pPr>
    </w:p>
    <w:p>
      <w:pPr>
        <w:rPr>
          <w:rFonts w:ascii="宋体" w:hAnsi="宋体"/>
        </w:rPr>
      </w:pPr>
      <w:bookmarkStart w:id="0" w:name="_GoBack"/>
      <w:bookmarkEnd w:id="0"/>
    </w:p>
    <w:sectPr>
      <w:footerReference r:id="rId7" w:type="default"/>
      <w:footerReference r:id="rId8" w:type="even"/>
      <w:type w:val="continuous"/>
      <w:pgSz w:w="11906" w:h="16838"/>
      <w:pgMar w:top="1814" w:right="1531" w:bottom="1985" w:left="1531" w:header="720" w:footer="1474" w:gutter="0"/>
      <w:paperSrc w:first="2" w:other="2"/>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黑体">
    <w:altName w:val="方正黑体_GBK"/>
    <w:panose1 w:val="020B0604020202020204"/>
    <w:charset w:val="86"/>
    <w:family w:val="swiss"/>
    <w:pitch w:val="default"/>
    <w:sig w:usb0="00000000" w:usb1="00000000" w:usb2="00000010" w:usb3="00000000" w:csb0="00040000" w:csb1="00000000"/>
  </w:font>
  <w:font w:name="方正书宋_GBK">
    <w:panose1 w:val="02000000000000000000"/>
    <w:charset w:val="86"/>
    <w:family w:val="script"/>
    <w:pitch w:val="default"/>
    <w:sig w:usb0="00000001" w:usb1="0800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right"/>
      <w:rPr>
        <w:rFonts w:ascii="宋体" w:hAnsi="宋体" w:eastAsia="宋体"/>
      </w:rPr>
    </w:pPr>
    <w:r>
      <w:rPr>
        <w:rFonts w:hint="eastAsia" w:ascii="宋体" w:hAnsi="宋体" w:eastAsia="宋体"/>
      </w:rPr>
      <w:t xml:space="preserve">— </w:t>
    </w:r>
    <w:r>
      <w:rPr>
        <w:rStyle w:val="10"/>
        <w:rFonts w:ascii="宋体" w:hAnsi="宋体" w:eastAsia="宋体"/>
      </w:rPr>
      <w:fldChar w:fldCharType="begin"/>
    </w:r>
    <w:r>
      <w:rPr>
        <w:rStyle w:val="10"/>
        <w:rFonts w:ascii="宋体" w:hAnsi="宋体" w:eastAsia="宋体"/>
      </w:rPr>
      <w:instrText xml:space="preserve"> PAGE </w:instrText>
    </w:r>
    <w:r>
      <w:rPr>
        <w:rStyle w:val="10"/>
        <w:rFonts w:ascii="宋体" w:hAnsi="宋体" w:eastAsia="宋体"/>
      </w:rPr>
      <w:fldChar w:fldCharType="separate"/>
    </w:r>
    <w:r>
      <w:rPr>
        <w:rStyle w:val="10"/>
        <w:rFonts w:ascii="宋体" w:hAnsi="宋体" w:eastAsia="宋体"/>
      </w:rPr>
      <w:t>1</w:t>
    </w:r>
    <w:r>
      <w:rPr>
        <w:rStyle w:val="10"/>
        <w:rFonts w:ascii="宋体" w:hAnsi="宋体" w:eastAsia="宋体"/>
      </w:rPr>
      <w:fldChar w:fldCharType="end"/>
    </w:r>
    <w:r>
      <w:rPr>
        <w:rStyle w:val="10"/>
        <w:rFonts w:hint="eastAsia" w:ascii="宋体" w:hAnsi="宋体" w:eastAsia="宋体"/>
      </w:rPr>
      <w:t xml:space="preserve"> </w:t>
    </w:r>
    <w:r>
      <w:rPr>
        <w:rFonts w:hint="eastAsia" w:ascii="宋体" w:hAnsi="宋体" w:eastAsia="宋体"/>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left"/>
      <w:rPr>
        <w:rFonts w:ascii="宋体" w:hAnsi="宋体" w:eastAsia="宋体"/>
      </w:rPr>
    </w:pPr>
    <w:r>
      <w:rPr>
        <w:rFonts w:hint="eastAsia" w:ascii="宋体" w:hAnsi="宋体" w:eastAsia="宋体"/>
      </w:rPr>
      <w:t xml:space="preserve">— </w:t>
    </w:r>
    <w:r>
      <w:rPr>
        <w:rStyle w:val="10"/>
        <w:rFonts w:ascii="宋体" w:hAnsi="宋体" w:eastAsia="宋体"/>
      </w:rPr>
      <w:fldChar w:fldCharType="begin"/>
    </w:r>
    <w:r>
      <w:rPr>
        <w:rStyle w:val="10"/>
        <w:rFonts w:ascii="宋体" w:hAnsi="宋体" w:eastAsia="宋体"/>
      </w:rPr>
      <w:instrText xml:space="preserve"> PAGE </w:instrText>
    </w:r>
    <w:r>
      <w:rPr>
        <w:rStyle w:val="10"/>
        <w:rFonts w:ascii="宋体" w:hAnsi="宋体" w:eastAsia="宋体"/>
      </w:rPr>
      <w:fldChar w:fldCharType="separate"/>
    </w:r>
    <w:r>
      <w:rPr>
        <w:rStyle w:val="10"/>
        <w:rFonts w:ascii="宋体" w:hAnsi="宋体" w:eastAsia="宋体"/>
      </w:rPr>
      <w:t>1</w:t>
    </w:r>
    <w:r>
      <w:rPr>
        <w:rStyle w:val="10"/>
        <w:rFonts w:ascii="宋体" w:hAnsi="宋体" w:eastAsia="宋体"/>
      </w:rPr>
      <w:fldChar w:fldCharType="end"/>
    </w:r>
    <w:r>
      <w:rPr>
        <w:rStyle w:val="10"/>
        <w:rFonts w:hint="eastAsia" w:ascii="宋体" w:hAnsi="宋体" w:eastAsia="宋体"/>
      </w:rPr>
      <w:t xml:space="preserve"> </w:t>
    </w:r>
    <w:r>
      <w:rPr>
        <w:rFonts w:hint="eastAsia" w:ascii="宋体" w:hAnsi="宋体" w:eastAsia="宋体"/>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true"/>
  <w:bordersDoNotSurroundFooter w:val="true"/>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attachedTemplate r:id="rId1"/>
  <w:documentProtection w:enforcement="0"/>
  <w:defaultTabStop w:val="425"/>
  <w:evenAndOddHeaders w:val="true"/>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C83"/>
    <w:rsid w:val="00092B01"/>
    <w:rsid w:val="001466C5"/>
    <w:rsid w:val="0019626B"/>
    <w:rsid w:val="00255B29"/>
    <w:rsid w:val="002B546B"/>
    <w:rsid w:val="002C2C70"/>
    <w:rsid w:val="00366C38"/>
    <w:rsid w:val="003D5C06"/>
    <w:rsid w:val="003F7C38"/>
    <w:rsid w:val="00486623"/>
    <w:rsid w:val="00494DC2"/>
    <w:rsid w:val="004D0CC2"/>
    <w:rsid w:val="004D0CDC"/>
    <w:rsid w:val="004F0700"/>
    <w:rsid w:val="00525838"/>
    <w:rsid w:val="00591E8F"/>
    <w:rsid w:val="005C4335"/>
    <w:rsid w:val="005E1985"/>
    <w:rsid w:val="0064140E"/>
    <w:rsid w:val="00670AA4"/>
    <w:rsid w:val="0067510B"/>
    <w:rsid w:val="00757C30"/>
    <w:rsid w:val="007A706A"/>
    <w:rsid w:val="007A70E9"/>
    <w:rsid w:val="008C774E"/>
    <w:rsid w:val="008E33D4"/>
    <w:rsid w:val="009264DC"/>
    <w:rsid w:val="00967EFC"/>
    <w:rsid w:val="009C4B8E"/>
    <w:rsid w:val="00A159FE"/>
    <w:rsid w:val="00A45BE1"/>
    <w:rsid w:val="00AC4C1E"/>
    <w:rsid w:val="00B719BA"/>
    <w:rsid w:val="00C302EA"/>
    <w:rsid w:val="00C3162A"/>
    <w:rsid w:val="00C47492"/>
    <w:rsid w:val="00D316F6"/>
    <w:rsid w:val="00D85C83"/>
    <w:rsid w:val="00DB21A1"/>
    <w:rsid w:val="00E54393"/>
    <w:rsid w:val="00F95429"/>
    <w:rsid w:val="00FF5842"/>
    <w:rsid w:val="6FE7D55D"/>
    <w:rsid w:val="6FFEFE4E"/>
    <w:rsid w:val="73FFAF88"/>
    <w:rsid w:val="BFB979BD"/>
    <w:rsid w:val="E9EB8331"/>
    <w:rsid w:val="F76BFB59"/>
    <w:rsid w:val="FAF5B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rFonts w:ascii="方正仿宋_GBK"/>
      <w:b/>
      <w:kern w:val="44"/>
      <w:sz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Balloon Text"/>
    <w:basedOn w:val="1"/>
    <w:link w:val="26"/>
    <w:qFormat/>
    <w:uiPriority w:val="0"/>
    <w:pPr>
      <w:spacing w:line="240" w:lineRule="auto"/>
    </w:pPr>
    <w:rPr>
      <w:sz w:val="18"/>
      <w:szCs w:val="18"/>
    </w:rPr>
  </w:style>
  <w:style w:type="paragraph" w:styleId="5">
    <w:name w:val="footer"/>
    <w:basedOn w:val="1"/>
    <w:qFormat/>
    <w:uiPriority w:val="0"/>
    <w:pPr>
      <w:tabs>
        <w:tab w:val="center" w:pos="4153"/>
        <w:tab w:val="right" w:pos="8306"/>
      </w:tabs>
      <w:spacing w:line="400" w:lineRule="atLeast"/>
      <w:ind w:firstLine="0"/>
      <w:jc w:val="center"/>
    </w:pPr>
    <w:rPr>
      <w:sz w:val="2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styleId="7">
    <w:name w:val="Normal (Web)"/>
    <w:basedOn w:val="1"/>
    <w:unhideWhenUsed/>
    <w:qFormat/>
    <w:uiPriority w:val="99"/>
    <w:pPr>
      <w:widowControl/>
      <w:autoSpaceDE/>
      <w:autoSpaceDN/>
      <w:snapToGrid/>
      <w:spacing w:before="100" w:beforeAutospacing="1" w:after="100" w:afterAutospacing="1" w:line="240" w:lineRule="auto"/>
      <w:ind w:firstLine="0"/>
      <w:jc w:val="left"/>
    </w:pPr>
    <w:rPr>
      <w:rFonts w:ascii="宋体" w:hAnsi="宋体" w:eastAsia="宋体" w:cs="宋体"/>
      <w:snapToGrid/>
      <w:sz w:val="24"/>
      <w:szCs w:val="24"/>
    </w:rPr>
  </w:style>
  <w:style w:type="character" w:styleId="10">
    <w:name w:val="page number"/>
    <w:basedOn w:val="9"/>
    <w:qFormat/>
    <w:uiPriority w:val="0"/>
  </w:style>
  <w:style w:type="character" w:styleId="11">
    <w:name w:val="Hyperlink"/>
    <w:basedOn w:val="9"/>
    <w:qFormat/>
    <w:uiPriority w:val="0"/>
    <w:rPr>
      <w:color w:val="0563C1" w:themeColor="hyperlink"/>
      <w:u w:val="single"/>
      <w14:textFill>
        <w14:solidFill>
          <w14:schemeClr w14:val="hlink"/>
        </w14:solidFill>
      </w14:textFill>
    </w:rPr>
  </w:style>
  <w:style w:type="paragraph" w:customStyle="1" w:styleId="12">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3">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4">
    <w:name w:val="标题2"/>
    <w:basedOn w:val="1"/>
    <w:next w:val="1"/>
    <w:qFormat/>
    <w:uiPriority w:val="0"/>
    <w:pPr>
      <w:ind w:firstLine="0"/>
      <w:jc w:val="center"/>
    </w:pPr>
    <w:rPr>
      <w:rFonts w:eastAsia="方正楷体_GBK"/>
    </w:rPr>
  </w:style>
  <w:style w:type="paragraph" w:customStyle="1" w:styleId="15">
    <w:name w:val="标题3"/>
    <w:basedOn w:val="1"/>
    <w:next w:val="1"/>
    <w:qFormat/>
    <w:uiPriority w:val="0"/>
    <w:rPr>
      <w:rFonts w:eastAsia="方正黑体_GBK"/>
    </w:rPr>
  </w:style>
  <w:style w:type="paragraph" w:customStyle="1" w:styleId="16">
    <w:name w:val="密级"/>
    <w:basedOn w:val="1"/>
    <w:qFormat/>
    <w:uiPriority w:val="0"/>
    <w:pPr>
      <w:adjustRightInd w:val="0"/>
      <w:spacing w:line="425" w:lineRule="atLeast"/>
      <w:ind w:firstLine="0"/>
      <w:jc w:val="right"/>
    </w:pPr>
    <w:rPr>
      <w:rFonts w:ascii="黑体" w:eastAsia="黑体"/>
      <w:sz w:val="30"/>
    </w:rPr>
  </w:style>
  <w:style w:type="paragraph" w:customStyle="1" w:styleId="17">
    <w:name w:val="主题词"/>
    <w:basedOn w:val="1"/>
    <w:qFormat/>
    <w:uiPriority w:val="0"/>
    <w:pPr>
      <w:adjustRightInd w:val="0"/>
      <w:snapToGrid/>
      <w:spacing w:line="240" w:lineRule="atLeast"/>
      <w:ind w:firstLine="0"/>
      <w:jc w:val="left"/>
    </w:pPr>
    <w:rPr>
      <w:rFonts w:ascii="方正黑体_GBK" w:eastAsia="方正黑体_GBK"/>
    </w:rPr>
  </w:style>
  <w:style w:type="paragraph" w:customStyle="1" w:styleId="18">
    <w:name w:val="抄送栏"/>
    <w:basedOn w:val="1"/>
    <w:qFormat/>
    <w:uiPriority w:val="0"/>
    <w:pPr>
      <w:adjustRightInd w:val="0"/>
      <w:snapToGrid/>
      <w:spacing w:line="454" w:lineRule="exact"/>
      <w:ind w:left="1310" w:right="357" w:hanging="953"/>
    </w:pPr>
  </w:style>
  <w:style w:type="paragraph" w:customStyle="1" w:styleId="19">
    <w:name w:val="线型"/>
    <w:basedOn w:val="18"/>
    <w:qFormat/>
    <w:uiPriority w:val="0"/>
    <w:pPr>
      <w:spacing w:line="240" w:lineRule="auto"/>
      <w:ind w:left="0" w:firstLine="0"/>
      <w:jc w:val="center"/>
    </w:pPr>
    <w:rPr>
      <w:sz w:val="21"/>
    </w:rPr>
  </w:style>
  <w:style w:type="paragraph" w:customStyle="1" w:styleId="20">
    <w:name w:val="印发栏"/>
    <w:basedOn w:val="3"/>
    <w:qFormat/>
    <w:uiPriority w:val="0"/>
    <w:pPr>
      <w:tabs>
        <w:tab w:val="right" w:pos="8465"/>
      </w:tabs>
      <w:spacing w:line="454" w:lineRule="exact"/>
      <w:ind w:left="357" w:right="357"/>
    </w:pPr>
    <w:rPr>
      <w:spacing w:val="0"/>
    </w:rPr>
  </w:style>
  <w:style w:type="paragraph" w:customStyle="1" w:styleId="21">
    <w:name w:val="印数"/>
    <w:basedOn w:val="20"/>
    <w:qFormat/>
    <w:uiPriority w:val="0"/>
    <w:pPr>
      <w:spacing w:line="400" w:lineRule="exact"/>
      <w:ind w:left="0" w:right="0"/>
      <w:jc w:val="right"/>
    </w:pPr>
  </w:style>
  <w:style w:type="paragraph" w:customStyle="1" w:styleId="22">
    <w:name w:val="附件栏"/>
    <w:basedOn w:val="1"/>
    <w:qFormat/>
    <w:uiPriority w:val="0"/>
  </w:style>
  <w:style w:type="paragraph" w:customStyle="1" w:styleId="23">
    <w:name w:val="紧急程度"/>
    <w:basedOn w:val="16"/>
    <w:qFormat/>
    <w:uiPriority w:val="0"/>
    <w:pPr>
      <w:overflowPunct w:val="0"/>
      <w:spacing w:line="500" w:lineRule="atLeast"/>
    </w:pPr>
    <w:rPr>
      <w:rFonts w:ascii="汉鼎简黑体" w:eastAsia="汉鼎简黑体"/>
      <w:sz w:val="32"/>
    </w:rPr>
  </w:style>
  <w:style w:type="paragraph" w:customStyle="1" w:styleId="24">
    <w:name w:val="文头"/>
    <w:basedOn w:val="19"/>
    <w:qFormat/>
    <w:uiPriority w:val="0"/>
    <w:pPr>
      <w:overflowPunct w:val="0"/>
      <w:adjustRightInd/>
      <w:snapToGrid w:val="0"/>
      <w:spacing w:before="100" w:line="800" w:lineRule="exact"/>
      <w:jc w:val="distribute"/>
    </w:pPr>
    <w:rPr>
      <w:rFonts w:ascii="方正小标宋_GBK" w:eastAsia="方正小标宋_GBK"/>
      <w:b/>
      <w:color w:val="FF0000"/>
      <w:w w:val="80"/>
      <w:sz w:val="76"/>
    </w:rPr>
  </w:style>
  <w:style w:type="character" w:customStyle="1" w:styleId="25">
    <w:name w:val="Unresolved Mention"/>
    <w:basedOn w:val="9"/>
    <w:semiHidden/>
    <w:unhideWhenUsed/>
    <w:qFormat/>
    <w:uiPriority w:val="99"/>
    <w:rPr>
      <w:color w:val="605E5C"/>
      <w:shd w:val="clear" w:color="auto" w:fill="E1DFDD"/>
    </w:rPr>
  </w:style>
  <w:style w:type="character" w:customStyle="1" w:styleId="26">
    <w:name w:val="批注框文本 字符"/>
    <w:basedOn w:val="9"/>
    <w:link w:val="4"/>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os/F:\&#25105;&#30340;&#22362;&#26524;&#20113;\&#30465;&#30693;&#35782;&#20135;&#26435;&#23616;&#25991;&#20214;&#27169;&#26495;Word2003\4&#30465;&#30693;&#35782;&#20135;&#26435;&#23616;&#32852;&#21512;&#21457;&#25991;&#27169;&#26495;.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F:\我的坚果云\省知识产权局文件模板Word2003\4省知识产权局联合发文模板.dot</Template>
  <Company>wyk</Company>
  <Pages>12</Pages>
  <Words>614</Words>
  <Characters>3506</Characters>
  <Lines>29</Lines>
  <Paragraphs>8</Paragraphs>
  <TotalTime>12</TotalTime>
  <ScaleCrop>false</ScaleCrop>
  <LinksUpToDate>false</LinksUpToDate>
  <CharactersWithSpaces>4112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2022-12-15T14:58:00Z</dcterms:created>
  <dc:creator>Administrator</dc:creator>
  <cp:lastModifiedBy>uos</cp:lastModifiedBy>
  <cp:lastPrinted>2022-12-15T14:58:00Z</cp:lastPrinted>
  <dcterms:modified xsi:type="dcterms:W3CDTF">2022-12-26T10:03:20Z</dcterms:modified>
  <dc:title>苏科办联合发文</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