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A31A1">
      <w:pPr>
        <w:pStyle w:val="8"/>
        <w:spacing w:line="570" w:lineRule="exact"/>
        <w:ind w:left="0" w:leftChars="0" w:firstLine="0" w:firstLineChars="0"/>
        <w:rPr>
          <w:rFonts w:hint="default" w:ascii="黑体" w:hAnsi="黑体" w:eastAsia="黑体" w:cs="黑体"/>
          <w:color w:val="auto"/>
          <w:lang w:val="en-US" w:eastAsia="zh-CN"/>
        </w:rPr>
      </w:pPr>
      <w:r>
        <w:rPr>
          <w:rFonts w:hint="eastAsia" w:ascii="黑体" w:hAnsi="黑体" w:eastAsia="黑体" w:cs="黑体"/>
          <w:color w:val="auto"/>
          <w:lang w:eastAsia="zh-CN"/>
        </w:rPr>
        <w:t>附件</w:t>
      </w:r>
      <w:r>
        <w:rPr>
          <w:rFonts w:hint="eastAsia" w:ascii="黑体" w:hAnsi="黑体" w:eastAsia="黑体" w:cs="黑体"/>
          <w:color w:val="auto"/>
          <w:lang w:val="en-US" w:eastAsia="zh-CN"/>
        </w:rPr>
        <w:t>3</w:t>
      </w:r>
    </w:p>
    <w:p w14:paraId="3BA10D12">
      <w:pPr>
        <w:rPr>
          <w:rFonts w:hint="default"/>
          <w:color w:val="auto"/>
          <w:lang w:val="en-US" w:eastAsia="zh-CN"/>
        </w:rPr>
      </w:pPr>
    </w:p>
    <w:p w14:paraId="5ECD222A">
      <w:pPr>
        <w:rPr>
          <w:rFonts w:hint="default"/>
          <w:color w:val="auto"/>
          <w:lang w:val="en-US" w:eastAsia="zh-CN"/>
        </w:rPr>
      </w:pPr>
    </w:p>
    <w:p w14:paraId="623D985F">
      <w:pPr>
        <w:pStyle w:val="9"/>
        <w:spacing w:line="570" w:lineRule="exact"/>
        <w:rPr>
          <w:rFonts w:hint="eastAsia" w:ascii="宋体" w:hAnsi="宋体" w:cs="方正小标宋_GBK"/>
          <w:color w:val="auto"/>
          <w:kern w:val="32"/>
        </w:rPr>
      </w:pPr>
      <w:r>
        <w:rPr>
          <w:rFonts w:hint="eastAsia" w:ascii="方正小标宋_GBK" w:hAnsi="方正小标宋_GBK" w:cs="方正小标宋_GBK"/>
          <w:color w:val="auto"/>
          <w:kern w:val="32"/>
        </w:rPr>
        <w:t>202</w:t>
      </w:r>
      <w:r>
        <w:rPr>
          <w:rFonts w:hint="eastAsia" w:ascii="方正小标宋_GBK" w:hAnsi="方正小标宋_GBK" w:cs="方正小标宋_GBK"/>
          <w:color w:val="auto"/>
          <w:kern w:val="32"/>
          <w:lang w:val="en-US" w:eastAsia="zh-CN"/>
        </w:rPr>
        <w:t>6</w:t>
      </w:r>
      <w:r>
        <w:rPr>
          <w:rFonts w:hint="eastAsia" w:ascii="方正小标宋_GBK" w:hAnsi="方正小标宋_GBK" w:cs="方正小标宋_GBK"/>
          <w:color w:val="auto"/>
          <w:kern w:val="32"/>
        </w:rPr>
        <w:t>年省专利转化（产业</w:t>
      </w:r>
      <w:r>
        <w:rPr>
          <w:rFonts w:hint="eastAsia" w:ascii="方正小标宋_GBK" w:hAnsi="方正小标宋_GBK" w:cs="方正小标宋_GBK"/>
          <w:color w:val="auto"/>
        </w:rPr>
        <w:t>知识产权运</w:t>
      </w:r>
      <w:r>
        <w:rPr>
          <w:rFonts w:hint="eastAsia" w:ascii="宋体" w:hAnsi="宋体" w:cs="方正小标宋_GBK"/>
          <w:color w:val="auto"/>
        </w:rPr>
        <w:t>营中心</w:t>
      </w:r>
      <w:r>
        <w:rPr>
          <w:rFonts w:hint="eastAsia" w:ascii="宋体" w:hAnsi="宋体" w:cs="方正小标宋_GBK"/>
          <w:color w:val="auto"/>
          <w:kern w:val="32"/>
        </w:rPr>
        <w:t>）项目申报指南</w:t>
      </w:r>
    </w:p>
    <w:p w14:paraId="4060E078">
      <w:pPr>
        <w:pStyle w:val="9"/>
        <w:keepNext w:val="0"/>
        <w:keepLines w:val="0"/>
        <w:pageBreakBefore w:val="0"/>
        <w:widowControl w:val="0"/>
        <w:kinsoku/>
        <w:wordWrap/>
        <w:overflowPunct/>
        <w:topLinePunct w:val="0"/>
        <w:autoSpaceDE/>
        <w:autoSpaceDN/>
        <w:bidi w:val="0"/>
        <w:adjustRightInd/>
        <w:snapToGrid/>
        <w:spacing w:line="570" w:lineRule="exact"/>
        <w:ind w:firstLine="0" w:firstLineChars="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lang w:val="en-US" w:eastAsia="zh-CN"/>
        </w:rPr>
        <w:t xml:space="preserve">  </w:t>
      </w:r>
    </w:p>
    <w:p w14:paraId="58D95659">
      <w:pPr>
        <w:pStyle w:val="9"/>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lang w:eastAsia="zh-CN"/>
        </w:rPr>
        <w:t>一</w:t>
      </w:r>
      <w:r>
        <w:rPr>
          <w:rFonts w:hint="eastAsia" w:ascii="宋体" w:hAnsi="宋体" w:eastAsia="方正黑体_GBK"/>
          <w:color w:val="auto"/>
          <w:sz w:val="32"/>
          <w:szCs w:val="32"/>
        </w:rPr>
        <w:t>、申报主体</w:t>
      </w:r>
    </w:p>
    <w:p w14:paraId="6452DDFC">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rPr>
        <w:t>省内各国家级新区</w:t>
      </w:r>
      <w:r>
        <w:rPr>
          <w:rFonts w:hint="eastAsia" w:ascii="宋体" w:hAnsi="宋体" w:eastAsia="方正仿宋_GBK"/>
          <w:color w:val="auto"/>
          <w:sz w:val="32"/>
          <w:lang w:eastAsia="zh-CN"/>
        </w:rPr>
        <w:t>、</w:t>
      </w:r>
      <w:r>
        <w:rPr>
          <w:rFonts w:hint="eastAsia" w:ascii="宋体" w:hAnsi="宋体" w:eastAsia="方正仿宋_GBK"/>
          <w:color w:val="auto"/>
          <w:sz w:val="32"/>
        </w:rPr>
        <w:t>高新技术产业开发区、经济技术开发区等园区管委会</w:t>
      </w:r>
      <w:r>
        <w:rPr>
          <w:rFonts w:hint="eastAsia" w:ascii="宋体" w:hAnsi="宋体" w:eastAsia="方正仿宋_GBK"/>
          <w:color w:val="auto"/>
          <w:sz w:val="32"/>
          <w:lang w:eastAsia="zh-CN"/>
        </w:rPr>
        <w:t>。</w:t>
      </w:r>
    </w:p>
    <w:p w14:paraId="02A81EF8">
      <w:pPr>
        <w:spacing w:line="570" w:lineRule="exact"/>
        <w:ind w:firstLine="640" w:firstLineChars="200"/>
        <w:rPr>
          <w:rFonts w:ascii="宋体" w:hAnsi="宋体" w:eastAsia="方正黑体_GBK"/>
          <w:color w:val="auto"/>
          <w:sz w:val="32"/>
          <w:szCs w:val="32"/>
        </w:rPr>
      </w:pPr>
      <w:r>
        <w:rPr>
          <w:rFonts w:hint="eastAsia" w:ascii="宋体" w:hAnsi="宋体" w:eastAsia="方正黑体_GBK"/>
          <w:color w:val="auto"/>
          <w:sz w:val="32"/>
          <w:szCs w:val="32"/>
          <w:lang w:eastAsia="zh-CN"/>
        </w:rPr>
        <w:t>二</w:t>
      </w:r>
      <w:r>
        <w:rPr>
          <w:rFonts w:hint="eastAsia" w:ascii="宋体" w:hAnsi="宋体" w:eastAsia="方正黑体_GBK"/>
          <w:color w:val="auto"/>
          <w:sz w:val="32"/>
          <w:szCs w:val="32"/>
        </w:rPr>
        <w:t>、申报条件</w:t>
      </w:r>
    </w:p>
    <w:p w14:paraId="0540B4F6">
      <w:pPr>
        <w:pStyle w:val="8"/>
        <w:rPr>
          <w:rFonts w:hint="eastAsia" w:ascii="宋体" w:hAnsi="宋体" w:eastAsia="方正仿宋_GBK"/>
          <w:color w:val="auto"/>
          <w:sz w:val="32"/>
          <w:lang w:eastAsia="zh-CN"/>
        </w:rPr>
      </w:pPr>
      <w:r>
        <w:rPr>
          <w:rFonts w:hint="eastAsia" w:ascii="方正楷体_GBK" w:hAnsi="方正楷体_GBK" w:eastAsia="方正楷体_GBK" w:cs="方正楷体_GBK"/>
          <w:color w:val="auto"/>
          <w:sz w:val="32"/>
        </w:rPr>
        <w:t>（一）产业特色鲜明</w:t>
      </w:r>
      <w:r>
        <w:rPr>
          <w:rFonts w:hint="eastAsia" w:ascii="方正楷体_GBK" w:hAnsi="方正楷体_GBK" w:eastAsia="方正楷体_GBK" w:cs="方正楷体_GBK"/>
          <w:color w:val="auto"/>
          <w:sz w:val="32"/>
          <w:lang w:eastAsia="zh-CN"/>
        </w:rPr>
        <w:t>。</w:t>
      </w:r>
      <w:r>
        <w:rPr>
          <w:rFonts w:hint="eastAsia" w:ascii="宋体" w:hAnsi="宋体" w:eastAsia="方正仿宋_GBK"/>
          <w:color w:val="auto"/>
          <w:sz w:val="32"/>
        </w:rPr>
        <w:t>被省、市确定为重点产业链所在地区，并制定出台了相关重点产业发展规划</w:t>
      </w:r>
      <w:r>
        <w:rPr>
          <w:rFonts w:hint="eastAsia" w:ascii="宋体" w:hAnsi="宋体" w:eastAsia="方正仿宋_GBK"/>
          <w:color w:val="auto"/>
          <w:sz w:val="32"/>
          <w:lang w:eastAsia="zh-CN"/>
        </w:rPr>
        <w:t>。</w:t>
      </w:r>
    </w:p>
    <w:p w14:paraId="0DA71656">
      <w:pPr>
        <w:pStyle w:val="8"/>
        <w:rPr>
          <w:rFonts w:hint="eastAsia" w:ascii="宋体" w:hAnsi="宋体" w:eastAsia="方正仿宋_GBK"/>
          <w:color w:val="auto"/>
          <w:sz w:val="32"/>
          <w:lang w:eastAsia="zh-CN"/>
        </w:rPr>
      </w:pPr>
      <w:r>
        <w:rPr>
          <w:rFonts w:hint="eastAsia" w:ascii="方正楷体_GBK" w:hAnsi="方正楷体_GBK" w:eastAsia="方正楷体_GBK" w:cs="方正楷体_GBK"/>
          <w:color w:val="auto"/>
          <w:sz w:val="32"/>
        </w:rPr>
        <w:t>（二）带动作用突出</w:t>
      </w:r>
      <w:r>
        <w:rPr>
          <w:rFonts w:hint="eastAsia" w:ascii="方正楷体_GBK" w:hAnsi="方正楷体_GBK" w:eastAsia="方正楷体_GBK" w:cs="方正楷体_GBK"/>
          <w:color w:val="auto"/>
          <w:sz w:val="32"/>
          <w:lang w:eastAsia="zh-CN"/>
        </w:rPr>
        <w:t>。</w:t>
      </w:r>
      <w:r>
        <w:rPr>
          <w:rFonts w:hint="eastAsia" w:ascii="宋体" w:hAnsi="宋体" w:eastAsia="方正仿宋_GBK"/>
          <w:color w:val="auto"/>
          <w:sz w:val="32"/>
        </w:rPr>
        <w:t>相关产业链“链主企业”“单项冠军”“优势企业”等重点企业落户园区，配套中小企业集聚，产业链相关企业总数</w:t>
      </w:r>
      <w:r>
        <w:rPr>
          <w:rFonts w:hint="eastAsia" w:ascii="宋体" w:hAnsi="宋体" w:eastAsia="方正仿宋_GBK"/>
          <w:color w:val="auto"/>
          <w:sz w:val="32"/>
          <w:lang w:val="en-US" w:eastAsia="zh-CN"/>
        </w:rPr>
        <w:t>不少于</w:t>
      </w:r>
      <w:r>
        <w:rPr>
          <w:rFonts w:hint="eastAsia" w:ascii="宋体" w:hAnsi="宋体" w:eastAsia="方正仿宋_GBK"/>
          <w:color w:val="auto"/>
          <w:sz w:val="32"/>
        </w:rPr>
        <w:t>30家</w:t>
      </w:r>
      <w:r>
        <w:rPr>
          <w:rFonts w:hint="eastAsia" w:ascii="宋体" w:hAnsi="宋体" w:eastAsia="方正仿宋_GBK"/>
          <w:color w:val="auto"/>
          <w:sz w:val="32"/>
          <w:lang w:eastAsia="zh-CN"/>
        </w:rPr>
        <w:t>。</w:t>
      </w:r>
    </w:p>
    <w:p w14:paraId="605C7B53">
      <w:pPr>
        <w:pStyle w:val="8"/>
        <w:rPr>
          <w:rFonts w:hint="eastAsia" w:ascii="宋体" w:hAnsi="宋体" w:eastAsia="方正仿宋_GBK"/>
          <w:color w:val="auto"/>
          <w:sz w:val="32"/>
          <w:lang w:eastAsia="zh-CN"/>
        </w:rPr>
      </w:pPr>
      <w:r>
        <w:rPr>
          <w:rFonts w:hint="eastAsia" w:ascii="方正楷体_GBK" w:hAnsi="方正楷体_GBK" w:eastAsia="方正楷体_GBK" w:cs="方正楷体_GBK"/>
          <w:color w:val="auto"/>
          <w:sz w:val="32"/>
        </w:rPr>
        <w:t>（三）管理机制健全</w:t>
      </w:r>
      <w:r>
        <w:rPr>
          <w:rFonts w:hint="eastAsia" w:ascii="方正楷体_GBK" w:hAnsi="方正楷体_GBK" w:eastAsia="方正楷体_GBK" w:cs="方正楷体_GBK"/>
          <w:color w:val="auto"/>
          <w:sz w:val="32"/>
          <w:lang w:eastAsia="zh-CN"/>
        </w:rPr>
        <w:t>。</w:t>
      </w:r>
      <w:r>
        <w:rPr>
          <w:rFonts w:hint="eastAsia" w:ascii="宋体" w:hAnsi="宋体" w:eastAsia="方正仿宋_GBK"/>
          <w:color w:val="auto"/>
          <w:sz w:val="32"/>
        </w:rPr>
        <w:t>建有知识产权管理机构，知识产权资金纳入园区财政预算，专利产出水平较高，知识产权综合实力位居全省前列</w:t>
      </w:r>
      <w:r>
        <w:rPr>
          <w:rFonts w:hint="eastAsia" w:ascii="宋体" w:hAnsi="宋体" w:eastAsia="方正仿宋_GBK"/>
          <w:color w:val="auto"/>
          <w:sz w:val="32"/>
          <w:lang w:eastAsia="zh-CN"/>
        </w:rPr>
        <w:t>。</w:t>
      </w:r>
    </w:p>
    <w:p w14:paraId="513B19D2">
      <w:pPr>
        <w:pStyle w:val="9"/>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lang w:eastAsia="zh-CN"/>
        </w:rPr>
        <w:t>三</w:t>
      </w:r>
      <w:r>
        <w:rPr>
          <w:rFonts w:hint="eastAsia" w:ascii="宋体" w:hAnsi="宋体" w:eastAsia="方正黑体_GBK"/>
          <w:color w:val="auto"/>
          <w:sz w:val="32"/>
          <w:szCs w:val="32"/>
        </w:rPr>
        <w:t>、项目任务和绩效目标</w:t>
      </w:r>
    </w:p>
    <w:p w14:paraId="041EAF99">
      <w:pPr>
        <w:spacing w:line="570" w:lineRule="exact"/>
        <w:ind w:firstLine="640" w:firstLineChars="200"/>
        <w:rPr>
          <w:rFonts w:hint="eastAsia" w:ascii="宋体" w:hAnsi="宋体" w:eastAsia="方正楷体_GBK" w:cs="方正楷体_GBK"/>
          <w:color w:val="auto"/>
          <w:sz w:val="32"/>
        </w:rPr>
      </w:pPr>
      <w:r>
        <w:rPr>
          <w:rFonts w:hint="eastAsia" w:ascii="宋体" w:hAnsi="宋体" w:eastAsia="方正楷体_GBK" w:cs="方正楷体_GBK"/>
          <w:color w:val="auto"/>
          <w:sz w:val="32"/>
        </w:rPr>
        <w:t>（一）项目任务</w:t>
      </w:r>
    </w:p>
    <w:p w14:paraId="3ECB6B15">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产业知识产权运营中心发展计划项目实施期</w:t>
      </w:r>
      <w:r>
        <w:rPr>
          <w:rFonts w:ascii="宋体" w:hAnsi="宋体" w:eastAsia="方正仿宋_GBK"/>
          <w:color w:val="auto"/>
          <w:sz w:val="32"/>
        </w:rPr>
        <w:t>2</w:t>
      </w:r>
      <w:r>
        <w:rPr>
          <w:rFonts w:hint="eastAsia" w:ascii="宋体" w:hAnsi="宋体" w:eastAsia="方正仿宋_GBK"/>
          <w:color w:val="auto"/>
          <w:sz w:val="32"/>
        </w:rPr>
        <w:t>年，以一条产业链为主攻方向，重点完成以下任务：</w:t>
      </w:r>
    </w:p>
    <w:p w14:paraId="3EC7DCFB">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1.</w:t>
      </w:r>
      <w:r>
        <w:rPr>
          <w:rFonts w:hint="eastAsia" w:ascii="宋体" w:hAnsi="宋体" w:eastAsia="方正仿宋_GBK"/>
          <w:color w:val="auto"/>
          <w:sz w:val="32"/>
          <w:lang w:val="en-US" w:eastAsia="zh-CN"/>
        </w:rPr>
        <w:t>促进产业知识产权协同发展</w:t>
      </w:r>
      <w:r>
        <w:rPr>
          <w:rFonts w:hint="eastAsia" w:ascii="宋体" w:hAnsi="宋体" w:eastAsia="方正仿宋_GBK"/>
          <w:color w:val="auto"/>
          <w:sz w:val="32"/>
        </w:rPr>
        <w:t>。组织</w:t>
      </w:r>
      <w:r>
        <w:rPr>
          <w:rFonts w:hint="eastAsia" w:ascii="宋体" w:hAnsi="宋体" w:eastAsia="方正仿宋_GBK"/>
          <w:color w:val="auto"/>
          <w:sz w:val="32"/>
          <w:lang w:val="en-US" w:eastAsia="zh-CN"/>
        </w:rPr>
        <w:t>产业链上下游各类主体</w:t>
      </w:r>
      <w:r>
        <w:rPr>
          <w:rFonts w:hint="eastAsia" w:ascii="宋体" w:hAnsi="宋体" w:eastAsia="方正仿宋_GBK"/>
          <w:color w:val="auto"/>
          <w:sz w:val="32"/>
        </w:rPr>
        <w:t>成立产业知识产权运营中心</w:t>
      </w:r>
      <w:r>
        <w:rPr>
          <w:rFonts w:hint="eastAsia" w:ascii="宋体" w:hAnsi="宋体" w:eastAsia="方正仿宋_GBK"/>
          <w:b w:val="0"/>
          <w:bCs w:val="0"/>
          <w:color w:val="auto"/>
          <w:sz w:val="32"/>
          <w:u w:val="none"/>
        </w:rPr>
        <w:t>，鼓励行业协会、投融资机构参与产业运营中心建设</w:t>
      </w:r>
      <w:r>
        <w:rPr>
          <w:rFonts w:hint="eastAsia" w:ascii="宋体" w:hAnsi="宋体" w:eastAsia="方正仿宋_GBK"/>
          <w:b w:val="0"/>
          <w:bCs w:val="0"/>
          <w:color w:val="auto"/>
          <w:sz w:val="32"/>
          <w:u w:val="none"/>
          <w:lang w:eastAsia="zh-CN"/>
        </w:rPr>
        <w:t>，</w:t>
      </w:r>
      <w:r>
        <w:rPr>
          <w:rFonts w:hint="eastAsia" w:ascii="宋体" w:hAnsi="宋体" w:eastAsia="方正仿宋_GBK"/>
          <w:b w:val="0"/>
          <w:bCs w:val="0"/>
          <w:color w:val="auto"/>
          <w:sz w:val="32"/>
          <w:u w:val="none"/>
          <w:lang w:val="en-US" w:eastAsia="zh-CN"/>
        </w:rPr>
        <w:t>推动构建产业知识产权创新联合体等协同创新机制，探索构建市场化运行的重点领域专利池，提升</w:t>
      </w:r>
      <w:r>
        <w:rPr>
          <w:rFonts w:hint="eastAsia" w:ascii="宋体" w:hAnsi="宋体" w:eastAsia="方正仿宋_GBK"/>
          <w:color w:val="auto"/>
          <w:sz w:val="32"/>
          <w:lang w:val="en-US" w:eastAsia="zh-CN"/>
        </w:rPr>
        <w:t>产业知识产权竞争力和风险防控水平，促进产业链大中小企业融通发展</w:t>
      </w:r>
      <w:r>
        <w:rPr>
          <w:rFonts w:hint="eastAsia" w:ascii="宋体" w:hAnsi="宋体" w:eastAsia="方正仿宋_GBK"/>
          <w:color w:val="auto"/>
          <w:sz w:val="32"/>
        </w:rPr>
        <w:t>。</w:t>
      </w:r>
    </w:p>
    <w:p w14:paraId="7C0AB772">
      <w:pPr>
        <w:spacing w:line="570" w:lineRule="exact"/>
        <w:ind w:firstLine="640" w:firstLineChars="200"/>
        <w:rPr>
          <w:rFonts w:hint="default" w:ascii="宋体" w:hAnsi="宋体" w:eastAsia="方正仿宋_GBK"/>
          <w:color w:val="auto"/>
          <w:sz w:val="32"/>
          <w:lang w:val="en-US" w:eastAsia="zh-CN"/>
        </w:rPr>
      </w:pPr>
      <w:r>
        <w:rPr>
          <w:rFonts w:hint="eastAsia" w:ascii="宋体" w:hAnsi="宋体" w:eastAsia="方正仿宋_GBK"/>
          <w:color w:val="auto"/>
          <w:sz w:val="32"/>
        </w:rPr>
        <w:t>2.</w:t>
      </w:r>
      <w:r>
        <w:rPr>
          <w:rFonts w:hint="eastAsia" w:ascii="宋体" w:hAnsi="宋体" w:eastAsia="方正仿宋_GBK"/>
          <w:color w:val="auto"/>
          <w:sz w:val="32"/>
          <w:lang w:val="en-US" w:eastAsia="zh-CN"/>
        </w:rPr>
        <w:t>开展产业</w:t>
      </w:r>
      <w:r>
        <w:rPr>
          <w:rFonts w:hint="eastAsia" w:ascii="宋体" w:hAnsi="宋体" w:eastAsia="方正仿宋_GBK"/>
          <w:color w:val="auto"/>
          <w:sz w:val="32"/>
        </w:rPr>
        <w:t>知识产权</w:t>
      </w:r>
      <w:r>
        <w:rPr>
          <w:rFonts w:hint="eastAsia" w:ascii="宋体" w:hAnsi="宋体" w:eastAsia="方正仿宋_GBK"/>
          <w:color w:val="auto"/>
          <w:sz w:val="32"/>
          <w:lang w:val="en-US" w:eastAsia="zh-CN"/>
        </w:rPr>
        <w:t>专业</w:t>
      </w:r>
      <w:r>
        <w:rPr>
          <w:rFonts w:hint="eastAsia" w:ascii="宋体" w:hAnsi="宋体" w:eastAsia="方正仿宋_GBK"/>
          <w:color w:val="auto"/>
          <w:sz w:val="32"/>
        </w:rPr>
        <w:t>服务。</w:t>
      </w:r>
      <w:r>
        <w:rPr>
          <w:rFonts w:hint="eastAsia" w:ascii="宋体" w:hAnsi="宋体" w:eastAsia="方正仿宋_GBK"/>
          <w:color w:val="auto"/>
          <w:sz w:val="32"/>
          <w:lang w:val="en-US" w:eastAsia="zh-CN"/>
        </w:rPr>
        <w:t>充分发挥知识产权的信息链接和权益纽带作用，</w:t>
      </w:r>
      <w:r>
        <w:rPr>
          <w:rFonts w:hint="eastAsia" w:ascii="宋体" w:hAnsi="宋体" w:eastAsia="方正仿宋_GBK"/>
          <w:color w:val="auto"/>
          <w:sz w:val="32"/>
        </w:rPr>
        <w:t>打造特色化产业知识产权</w:t>
      </w:r>
      <w:r>
        <w:rPr>
          <w:rFonts w:hint="eastAsia" w:ascii="宋体" w:hAnsi="宋体" w:eastAsia="方正仿宋_GBK"/>
          <w:color w:val="auto"/>
          <w:sz w:val="32"/>
          <w:lang w:val="en-US" w:eastAsia="zh-CN"/>
        </w:rPr>
        <w:t>专业服务</w:t>
      </w:r>
      <w:r>
        <w:rPr>
          <w:rFonts w:hint="eastAsia" w:ascii="宋体" w:hAnsi="宋体" w:eastAsia="方正仿宋_GBK"/>
          <w:color w:val="auto"/>
          <w:sz w:val="32"/>
        </w:rPr>
        <w:t>平台。收集整理产业链相关的全球专利信息，并进行深度加工标引，</w:t>
      </w:r>
      <w:r>
        <w:rPr>
          <w:rFonts w:hint="eastAsia" w:ascii="宋体" w:hAnsi="宋体" w:eastAsia="方正仿宋_GBK"/>
          <w:b w:val="0"/>
          <w:bCs w:val="0"/>
          <w:color w:val="auto"/>
          <w:sz w:val="32"/>
        </w:rPr>
        <w:t>开展</w:t>
      </w:r>
      <w:r>
        <w:rPr>
          <w:rFonts w:hint="eastAsia" w:ascii="宋体" w:hAnsi="宋体" w:eastAsia="方正仿宋_GBK"/>
          <w:b w:val="0"/>
          <w:bCs w:val="0"/>
          <w:color w:val="auto"/>
          <w:sz w:val="32"/>
          <w:u w:val="none"/>
        </w:rPr>
        <w:t>专利导航</w:t>
      </w:r>
      <w:r>
        <w:rPr>
          <w:rFonts w:hint="eastAsia" w:ascii="宋体" w:hAnsi="宋体" w:eastAsia="方正仿宋_GBK"/>
          <w:b w:val="0"/>
          <w:bCs w:val="0"/>
          <w:color w:val="auto"/>
          <w:sz w:val="32"/>
          <w:u w:val="none"/>
          <w:lang w:eastAsia="zh-CN"/>
        </w:rPr>
        <w:t>、</w:t>
      </w:r>
      <w:r>
        <w:rPr>
          <w:rFonts w:hint="eastAsia" w:ascii="宋体" w:hAnsi="宋体" w:eastAsia="方正仿宋_GBK"/>
          <w:b w:val="0"/>
          <w:bCs w:val="0"/>
          <w:color w:val="auto"/>
          <w:sz w:val="32"/>
          <w:u w:val="none"/>
        </w:rPr>
        <w:t>分析</w:t>
      </w:r>
      <w:r>
        <w:rPr>
          <w:rFonts w:hint="eastAsia" w:ascii="宋体" w:hAnsi="宋体" w:eastAsia="方正仿宋_GBK"/>
          <w:b w:val="0"/>
          <w:bCs w:val="0"/>
          <w:color w:val="auto"/>
          <w:sz w:val="32"/>
          <w:u w:val="none"/>
          <w:lang w:val="en-US" w:eastAsia="zh-CN"/>
        </w:rPr>
        <w:t>评议</w:t>
      </w:r>
      <w:r>
        <w:rPr>
          <w:rFonts w:hint="eastAsia" w:ascii="宋体" w:hAnsi="宋体" w:eastAsia="方正仿宋_GBK"/>
          <w:b w:val="0"/>
          <w:bCs w:val="0"/>
          <w:color w:val="auto"/>
          <w:sz w:val="32"/>
          <w:u w:val="none"/>
          <w:lang w:eastAsia="zh-CN"/>
        </w:rPr>
        <w:t>、</w:t>
      </w:r>
      <w:r>
        <w:rPr>
          <w:rFonts w:hint="eastAsia" w:ascii="宋体" w:hAnsi="宋体" w:eastAsia="方正仿宋_GBK"/>
          <w:b w:val="0"/>
          <w:bCs w:val="0"/>
          <w:color w:val="auto"/>
          <w:sz w:val="32"/>
          <w:u w:val="none"/>
          <w:lang w:val="en-US" w:eastAsia="zh-CN"/>
        </w:rPr>
        <w:t>价值评估、专利与标准协同、产品出口前知识产权风险预警排查、</w:t>
      </w:r>
      <w:r>
        <w:rPr>
          <w:rFonts w:hint="eastAsia" w:ascii="宋体" w:hAnsi="宋体" w:eastAsia="方正仿宋_GBK"/>
          <w:b w:val="0"/>
          <w:bCs w:val="0"/>
          <w:color w:val="auto"/>
          <w:sz w:val="32"/>
          <w:lang w:val="en-US" w:eastAsia="zh-CN"/>
        </w:rPr>
        <w:t>供应链合规</w:t>
      </w:r>
      <w:r>
        <w:rPr>
          <w:rFonts w:hint="eastAsia" w:ascii="宋体" w:hAnsi="宋体" w:eastAsia="方正仿宋_GBK"/>
          <w:color w:val="auto"/>
          <w:sz w:val="32"/>
          <w:lang w:val="en-US" w:eastAsia="zh-CN"/>
        </w:rPr>
        <w:t>排查等专业化服务</w:t>
      </w:r>
      <w:r>
        <w:rPr>
          <w:rFonts w:hint="eastAsia" w:ascii="宋体" w:hAnsi="宋体" w:eastAsia="方正仿宋_GBK"/>
          <w:color w:val="auto"/>
          <w:sz w:val="32"/>
        </w:rPr>
        <w:t>。</w:t>
      </w:r>
      <w:r>
        <w:rPr>
          <w:rFonts w:hint="eastAsia" w:ascii="宋体" w:hAnsi="宋体" w:eastAsia="方正仿宋_GBK"/>
          <w:color w:val="auto"/>
          <w:sz w:val="32"/>
          <w:lang w:val="en-US" w:eastAsia="zh-CN"/>
        </w:rPr>
        <w:t>探索专利开源、专利开放许可、财政资助科研项目形成专利的声明制度等新模式。</w:t>
      </w:r>
    </w:p>
    <w:p w14:paraId="293A181D">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3.深度挖掘</w:t>
      </w:r>
      <w:r>
        <w:rPr>
          <w:rFonts w:hint="eastAsia" w:ascii="宋体" w:hAnsi="宋体" w:eastAsia="方正仿宋_GBK"/>
          <w:color w:val="auto"/>
          <w:sz w:val="32"/>
          <w:lang w:val="en-US" w:eastAsia="zh-CN"/>
        </w:rPr>
        <w:t>产业链</w:t>
      </w:r>
      <w:r>
        <w:rPr>
          <w:rFonts w:hint="eastAsia" w:ascii="宋体" w:hAnsi="宋体" w:eastAsia="方正仿宋_GBK"/>
          <w:color w:val="auto"/>
          <w:sz w:val="32"/>
        </w:rPr>
        <w:t>企业技术需求。全面摸排产业链相关企业技术和专利现状</w:t>
      </w:r>
      <w:r>
        <w:rPr>
          <w:rFonts w:hint="eastAsia" w:ascii="宋体" w:hAnsi="宋体" w:eastAsia="方正仿宋_GBK"/>
          <w:color w:val="auto"/>
          <w:sz w:val="32"/>
          <w:lang w:eastAsia="zh-CN"/>
        </w:rPr>
        <w:t>，</w:t>
      </w:r>
      <w:r>
        <w:rPr>
          <w:rFonts w:hint="eastAsia" w:ascii="宋体" w:hAnsi="宋体" w:eastAsia="方正仿宋_GBK"/>
          <w:color w:val="auto"/>
          <w:sz w:val="32"/>
        </w:rPr>
        <w:t>提供技术和产品路线诊断、技术创新需求挖掘服务，建立企业个性化和产业链关键核心技术共性化专利需求信息库，定期推送相关信息；</w:t>
      </w:r>
      <w:r>
        <w:rPr>
          <w:rFonts w:hint="eastAsia" w:ascii="宋体" w:hAnsi="宋体" w:eastAsia="方正仿宋_GBK"/>
          <w:color w:val="auto"/>
          <w:sz w:val="32"/>
          <w:lang w:val="en-US" w:eastAsia="zh-CN"/>
        </w:rPr>
        <w:t>积极整合服务资源，</w:t>
      </w:r>
      <w:r>
        <w:rPr>
          <w:rFonts w:hint="eastAsia" w:ascii="宋体" w:hAnsi="宋体" w:eastAsia="方正仿宋_GBK"/>
          <w:color w:val="auto"/>
          <w:sz w:val="32"/>
        </w:rPr>
        <w:t>帮助企业对接高校院所、国有企业创新资源和知识产权，开展技术寻源工作，为企业技术创新全流程提供整体解决方案，促进企业创新发展。</w:t>
      </w:r>
    </w:p>
    <w:p w14:paraId="48227EE5">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4.</w:t>
      </w:r>
      <w:r>
        <w:rPr>
          <w:rFonts w:hint="eastAsia" w:ascii="宋体" w:hAnsi="宋体" w:eastAsia="方正仿宋_GBK"/>
          <w:color w:val="auto"/>
          <w:sz w:val="32"/>
          <w:lang w:val="en-US" w:eastAsia="zh-CN"/>
        </w:rPr>
        <w:t>推动</w:t>
      </w:r>
      <w:r>
        <w:rPr>
          <w:rFonts w:hint="eastAsia" w:ascii="宋体" w:hAnsi="宋体" w:eastAsia="方正仿宋_GBK"/>
          <w:color w:val="auto"/>
          <w:sz w:val="32"/>
        </w:rPr>
        <w:t>精准化专利供需匹配。运用互联网、大数据、人工智能等技术手段，统筹优化人才、专利、信息等创新要素配置，深入参与高校和科研机构存量专利盘活，</w:t>
      </w:r>
      <w:r>
        <w:rPr>
          <w:rFonts w:hint="eastAsia" w:ascii="宋体" w:hAnsi="宋体" w:eastAsia="方正仿宋_GBK"/>
          <w:color w:val="auto"/>
          <w:sz w:val="32"/>
          <w:lang w:val="en-US" w:eastAsia="zh-CN"/>
        </w:rPr>
        <w:t>结合产业链企业的专利技术需求和高校院所的专利技术转化需求</w:t>
      </w:r>
      <w:r>
        <w:rPr>
          <w:rFonts w:hint="eastAsia" w:ascii="宋体" w:hAnsi="宋体" w:eastAsia="方正仿宋_GBK"/>
          <w:color w:val="auto"/>
          <w:sz w:val="32"/>
        </w:rPr>
        <w:t>，</w:t>
      </w:r>
      <w:r>
        <w:rPr>
          <w:rFonts w:hint="eastAsia" w:ascii="宋体" w:hAnsi="宋体" w:eastAsia="方正仿宋_GBK"/>
          <w:color w:val="auto"/>
          <w:sz w:val="32"/>
          <w:lang w:val="en-US" w:eastAsia="zh-CN"/>
        </w:rPr>
        <w:t>组织</w:t>
      </w:r>
      <w:r>
        <w:rPr>
          <w:rFonts w:hint="eastAsia" w:ascii="宋体" w:hAnsi="宋体" w:eastAsia="方正仿宋_GBK"/>
          <w:color w:val="auto"/>
          <w:sz w:val="32"/>
        </w:rPr>
        <w:t>开展专利技术</w:t>
      </w:r>
      <w:r>
        <w:rPr>
          <w:rFonts w:hint="eastAsia" w:ascii="宋体" w:hAnsi="宋体" w:eastAsia="方正仿宋_GBK"/>
          <w:color w:val="auto"/>
          <w:sz w:val="32"/>
          <w:lang w:val="en-US" w:eastAsia="zh-CN"/>
        </w:rPr>
        <w:t>供需</w:t>
      </w:r>
      <w:r>
        <w:rPr>
          <w:rFonts w:hint="eastAsia" w:ascii="宋体" w:hAnsi="宋体" w:eastAsia="方正仿宋_GBK"/>
          <w:color w:val="auto"/>
          <w:sz w:val="32"/>
        </w:rPr>
        <w:t>对接</w:t>
      </w:r>
      <w:r>
        <w:rPr>
          <w:rFonts w:hint="eastAsia" w:ascii="宋体" w:hAnsi="宋体" w:eastAsia="方正仿宋_GBK"/>
          <w:color w:val="auto"/>
          <w:sz w:val="32"/>
          <w:lang w:eastAsia="zh-CN"/>
        </w:rPr>
        <w:t>、</w:t>
      </w:r>
      <w:r>
        <w:rPr>
          <w:rFonts w:hint="eastAsia" w:ascii="宋体" w:hAnsi="宋体" w:eastAsia="方正仿宋_GBK"/>
          <w:color w:val="auto"/>
          <w:sz w:val="32"/>
          <w:lang w:val="en-US" w:eastAsia="zh-CN"/>
        </w:rPr>
        <w:t>路演推介、交易撮合等</w:t>
      </w:r>
      <w:r>
        <w:rPr>
          <w:rFonts w:hint="eastAsia" w:ascii="宋体" w:hAnsi="宋体" w:eastAsia="方正仿宋_GBK"/>
          <w:color w:val="auto"/>
          <w:sz w:val="32"/>
        </w:rPr>
        <w:t>活动，</w:t>
      </w:r>
      <w:r>
        <w:rPr>
          <w:rFonts w:hint="eastAsia" w:ascii="宋体" w:hAnsi="宋体" w:eastAsia="方正仿宋_GBK"/>
          <w:color w:val="auto"/>
          <w:sz w:val="32"/>
          <w:lang w:val="en-US" w:eastAsia="zh-CN"/>
        </w:rPr>
        <w:t>提高专利对接精准度和签约率，</w:t>
      </w:r>
      <w:r>
        <w:rPr>
          <w:rFonts w:hint="eastAsia" w:ascii="宋体" w:hAnsi="宋体" w:eastAsia="方正仿宋_GBK"/>
          <w:color w:val="auto"/>
          <w:sz w:val="32"/>
        </w:rPr>
        <w:t>推动专利产业化项目落地实施</w:t>
      </w:r>
      <w:r>
        <w:rPr>
          <w:rFonts w:hint="eastAsia" w:ascii="宋体" w:hAnsi="宋体" w:eastAsia="方正仿宋_GBK"/>
          <w:color w:val="auto"/>
          <w:sz w:val="32"/>
          <w:lang w:eastAsia="zh-CN"/>
        </w:rPr>
        <w:t>。</w:t>
      </w:r>
    </w:p>
    <w:p w14:paraId="5ADFEEBB">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5.</w:t>
      </w:r>
      <w:r>
        <w:rPr>
          <w:rFonts w:hint="eastAsia" w:ascii="宋体" w:hAnsi="宋体" w:eastAsia="方正仿宋_GBK"/>
          <w:color w:val="auto"/>
          <w:sz w:val="32"/>
          <w:lang w:val="en-US" w:eastAsia="zh-CN"/>
        </w:rPr>
        <w:t>加快推进专利产业化进程</w:t>
      </w:r>
      <w:r>
        <w:rPr>
          <w:rFonts w:hint="eastAsia" w:ascii="宋体" w:hAnsi="宋体" w:eastAsia="方正仿宋_GBK"/>
          <w:color w:val="auto"/>
          <w:sz w:val="32"/>
        </w:rPr>
        <w:t>。建立对企业有意愿受让，但是专利技术成熟度不够的专利技术的跟踪培育机制，主动协助对接</w:t>
      </w:r>
      <w:r>
        <w:rPr>
          <w:rFonts w:hint="eastAsia" w:ascii="宋体" w:hAnsi="宋体" w:eastAsia="方正仿宋_GBK"/>
          <w:color w:val="auto"/>
          <w:sz w:val="32"/>
          <w:highlight w:val="none"/>
        </w:rPr>
        <w:t>概念验证中心、小</w:t>
      </w:r>
      <w:r>
        <w:rPr>
          <w:rFonts w:hint="eastAsia" w:ascii="宋体" w:hAnsi="宋体" w:eastAsia="方正仿宋_GBK"/>
          <w:color w:val="auto"/>
          <w:sz w:val="32"/>
        </w:rPr>
        <w:t>试中试等熟化平台，开展数据积累、工艺优化、二次研发以及样品生产、技术鉴定、批量试制、工艺熟化等服务，并注重熟化过程中的专利申请布局，提高专利商业化进程</w:t>
      </w:r>
      <w:r>
        <w:rPr>
          <w:rFonts w:hint="eastAsia" w:ascii="宋体" w:hAnsi="宋体" w:eastAsia="方正仿宋_GBK"/>
          <w:color w:val="auto"/>
          <w:sz w:val="32"/>
          <w:lang w:eastAsia="zh-CN"/>
        </w:rPr>
        <w:t>，</w:t>
      </w:r>
      <w:r>
        <w:rPr>
          <w:rFonts w:hint="eastAsia" w:ascii="宋体" w:hAnsi="宋体" w:eastAsia="方正仿宋_GBK"/>
          <w:b w:val="0"/>
          <w:bCs w:val="0"/>
          <w:color w:val="auto"/>
          <w:sz w:val="32"/>
          <w:lang w:val="en-US" w:eastAsia="zh-CN"/>
        </w:rPr>
        <w:t>培育推广专利密集型产品，加快打造一批以科技创新为支撑的商标品</w:t>
      </w:r>
      <w:r>
        <w:rPr>
          <w:rFonts w:hint="eastAsia" w:ascii="宋体" w:hAnsi="宋体" w:eastAsia="方正仿宋_GBK"/>
          <w:color w:val="auto"/>
          <w:sz w:val="32"/>
          <w:lang w:val="en-US" w:eastAsia="zh-CN"/>
        </w:rPr>
        <w:t>牌</w:t>
      </w:r>
      <w:r>
        <w:rPr>
          <w:rFonts w:hint="eastAsia" w:ascii="宋体" w:hAnsi="宋体" w:eastAsia="方正仿宋_GBK"/>
          <w:color w:val="auto"/>
          <w:sz w:val="32"/>
        </w:rPr>
        <w:t>。</w:t>
      </w:r>
    </w:p>
    <w:p w14:paraId="5E0B7FF2">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lang w:val="en-US" w:eastAsia="zh-CN"/>
        </w:rPr>
        <w:t>6</w:t>
      </w:r>
      <w:r>
        <w:rPr>
          <w:rFonts w:hint="eastAsia" w:ascii="宋体" w:hAnsi="宋体" w:eastAsia="方正仿宋_GBK"/>
          <w:color w:val="auto"/>
          <w:sz w:val="32"/>
        </w:rPr>
        <w:t>.培养专业化专利运营人才。开发知识产权运营人才培养项目，举办知识产权运营专题培训班，依托国家技术转移人才培养（江苏）基地、全省知识产权人才培养基地,组织区内执业专利代理师等相关服务人员参加技术经理人业务培训，取得国家技术转移专业人员能力等级证书。</w:t>
      </w:r>
    </w:p>
    <w:p w14:paraId="421ABD1F">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lang w:val="en-US" w:eastAsia="zh-CN"/>
        </w:rPr>
        <w:t>7</w:t>
      </w:r>
      <w:r>
        <w:rPr>
          <w:rFonts w:hint="eastAsia" w:ascii="宋体" w:hAnsi="宋体" w:eastAsia="方正仿宋_GBK"/>
          <w:color w:val="auto"/>
          <w:sz w:val="32"/>
        </w:rPr>
        <w:t>.建立一站式融资服务渠道。积极用好行业协会资源</w:t>
      </w:r>
      <w:r>
        <w:rPr>
          <w:rFonts w:hint="eastAsia" w:ascii="宋体" w:hAnsi="宋体" w:eastAsia="方正仿宋_GBK"/>
          <w:color w:val="auto"/>
          <w:sz w:val="32"/>
          <w:lang w:eastAsia="zh-CN"/>
        </w:rPr>
        <w:t>，</w:t>
      </w:r>
      <w:r>
        <w:rPr>
          <w:rFonts w:hint="eastAsia" w:ascii="宋体" w:hAnsi="宋体" w:eastAsia="方正仿宋_GBK"/>
          <w:color w:val="auto"/>
          <w:sz w:val="32"/>
        </w:rPr>
        <w:t>引导推动金融机构、股权投资基金等通过知识产权质押融资、保</w:t>
      </w:r>
      <w:r>
        <w:rPr>
          <w:rFonts w:hint="eastAsia" w:ascii="宋体" w:hAnsi="宋体" w:eastAsia="方正仿宋_GBK"/>
          <w:color w:val="auto"/>
          <w:sz w:val="32"/>
          <w:highlight w:val="none"/>
        </w:rPr>
        <w:t>险、证券化、投资</w:t>
      </w:r>
      <w:r>
        <w:rPr>
          <w:rFonts w:hint="eastAsia" w:ascii="宋体" w:hAnsi="宋体" w:eastAsia="方正仿宋_GBK"/>
          <w:color w:val="auto"/>
          <w:sz w:val="32"/>
        </w:rPr>
        <w:t>等多元化金融工具，深度参与专利转化实施，满足企事业单位在优秀专利项目转移、二次开发、产业化等阶段的不同资金需求</w:t>
      </w:r>
      <w:r>
        <w:rPr>
          <w:rFonts w:hint="eastAsia" w:ascii="宋体" w:hAnsi="宋体" w:eastAsia="方正仿宋_GBK"/>
          <w:color w:val="auto"/>
          <w:sz w:val="32"/>
          <w:lang w:eastAsia="zh-CN"/>
        </w:rPr>
        <w:t>，构建“投+贷+保”风险共担模式，</w:t>
      </w:r>
      <w:r>
        <w:rPr>
          <w:rFonts w:hint="eastAsia" w:ascii="宋体" w:hAnsi="宋体" w:eastAsia="方正仿宋_GBK"/>
          <w:color w:val="auto"/>
          <w:sz w:val="32"/>
        </w:rPr>
        <w:t>发挥金融资本赋能作用，支撑产业高质量发展。</w:t>
      </w:r>
      <w:r>
        <w:rPr>
          <w:rFonts w:hint="eastAsia" w:ascii="宋体" w:hAnsi="宋体" w:eastAsia="方正仿宋_GBK"/>
          <w:color w:val="auto"/>
          <w:sz w:val="32"/>
          <w:lang w:val="en-US" w:eastAsia="zh-CN"/>
        </w:rPr>
        <w:t>有效促进金融资源与创新链、产业链、价值链、人才链深度融合，更好释放知识产权金融赋能产业发展的效能</w:t>
      </w:r>
      <w:r>
        <w:rPr>
          <w:rFonts w:hint="eastAsia" w:ascii="宋体" w:hAnsi="宋体" w:eastAsia="方正仿宋_GBK"/>
          <w:color w:val="auto"/>
          <w:sz w:val="32"/>
        </w:rPr>
        <w:t>。</w:t>
      </w:r>
    </w:p>
    <w:p w14:paraId="145F1279">
      <w:pPr>
        <w:spacing w:line="570" w:lineRule="exact"/>
        <w:ind w:firstLine="640" w:firstLineChars="200"/>
        <w:rPr>
          <w:rFonts w:hint="default" w:ascii="宋体" w:hAnsi="宋体" w:eastAsia="方正楷体_GBK" w:cs="方正楷体_GBK"/>
          <w:color w:val="auto"/>
          <w:sz w:val="32"/>
          <w:lang w:val="en-US" w:eastAsia="zh-CN"/>
        </w:rPr>
      </w:pPr>
      <w:r>
        <w:rPr>
          <w:rFonts w:hint="eastAsia" w:ascii="宋体" w:hAnsi="宋体" w:eastAsia="方正楷体_GBK" w:cs="方正楷体_GBK"/>
          <w:color w:val="auto"/>
          <w:sz w:val="32"/>
        </w:rPr>
        <w:t>（二）绩效目标</w:t>
      </w:r>
    </w:p>
    <w:p w14:paraId="2D8A14E4">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通过培育和发展产业知识产权运营中心，推动重点产业链专利转化能力水平大幅提升。考核以下绩效目标：</w:t>
      </w:r>
    </w:p>
    <w:p w14:paraId="6CF86BA0">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rPr>
        <w:t>1.</w:t>
      </w:r>
      <w:r>
        <w:rPr>
          <w:rFonts w:hint="eastAsia" w:ascii="宋体" w:hAnsi="宋体" w:eastAsia="方正仿宋_GBK"/>
          <w:color w:val="auto"/>
          <w:sz w:val="32"/>
          <w:lang w:eastAsia="zh-CN"/>
        </w:rPr>
        <w:t>建设专利技术供需目录，每年精准推送信息不少于5000条；</w:t>
      </w:r>
    </w:p>
    <w:p w14:paraId="2AA0D3E6">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2.</w:t>
      </w:r>
      <w:r>
        <w:rPr>
          <w:rFonts w:hint="eastAsia" w:ascii="宋体" w:hAnsi="宋体" w:eastAsia="方正仿宋_GBK"/>
          <w:color w:val="auto"/>
          <w:sz w:val="32"/>
          <w:lang w:eastAsia="zh-CN"/>
        </w:rPr>
        <w:t>组织知识产权运营专题培训不少于200</w:t>
      </w:r>
      <w:r>
        <w:rPr>
          <w:rFonts w:hint="eastAsia" w:ascii="宋体" w:hAnsi="宋体" w:eastAsia="方正仿宋_GBK"/>
          <w:color w:val="auto"/>
          <w:sz w:val="32"/>
          <w:lang w:val="en-US" w:eastAsia="zh-CN"/>
        </w:rPr>
        <w:t>人次</w:t>
      </w:r>
      <w:r>
        <w:rPr>
          <w:rFonts w:hint="eastAsia" w:ascii="宋体" w:hAnsi="宋体" w:eastAsia="方正仿宋_GBK"/>
          <w:color w:val="auto"/>
          <w:sz w:val="32"/>
          <w:lang w:eastAsia="zh-CN"/>
        </w:rPr>
        <w:t>；</w:t>
      </w:r>
    </w:p>
    <w:p w14:paraId="0D59AA34">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3.</w:t>
      </w:r>
      <w:r>
        <w:rPr>
          <w:rFonts w:hint="eastAsia" w:ascii="宋体" w:hAnsi="宋体" w:eastAsia="方正仿宋_GBK"/>
          <w:color w:val="auto"/>
          <w:sz w:val="32"/>
          <w:lang w:eastAsia="zh-CN"/>
        </w:rPr>
        <w:t>组织专利技术成果拍卖、专利转化对接等活动不少于10场次；</w:t>
      </w:r>
    </w:p>
    <w:p w14:paraId="128AA5FB">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4.</w:t>
      </w:r>
      <w:r>
        <w:rPr>
          <w:rFonts w:hint="eastAsia" w:ascii="宋体" w:hAnsi="宋体" w:eastAsia="方正仿宋_GBK"/>
          <w:color w:val="auto"/>
          <w:sz w:val="32"/>
          <w:lang w:eastAsia="zh-CN"/>
        </w:rPr>
        <w:t>每年推动专利转让许可或作价入股100件以上，或交易金额超过1000万元；</w:t>
      </w:r>
    </w:p>
    <w:p w14:paraId="1A3051BB">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lang w:val="en-US" w:eastAsia="zh-CN"/>
        </w:rPr>
        <w:t>5.</w:t>
      </w:r>
      <w:r>
        <w:rPr>
          <w:rFonts w:hint="eastAsia" w:ascii="宋体" w:hAnsi="宋体" w:eastAsia="方正仿宋_GBK"/>
          <w:color w:val="auto"/>
          <w:sz w:val="32"/>
        </w:rPr>
        <w:t>高校院所在园区内转化专利数量年度增幅不少于20%；</w:t>
      </w:r>
    </w:p>
    <w:p w14:paraId="01BEC9C4">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lang w:val="en-US" w:eastAsia="zh-CN"/>
        </w:rPr>
        <w:t>6.</w:t>
      </w:r>
      <w:r>
        <w:rPr>
          <w:rFonts w:hint="eastAsia" w:ascii="宋体" w:hAnsi="宋体" w:eastAsia="方正仿宋_GBK"/>
          <w:color w:val="auto"/>
          <w:sz w:val="32"/>
        </w:rPr>
        <w:t>受让高校院所专利的中小企业数量年度增幅不少于20%；</w:t>
      </w:r>
    </w:p>
    <w:p w14:paraId="682DB8DA">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lang w:val="en-US" w:eastAsia="zh-CN"/>
        </w:rPr>
        <w:t>7.</w:t>
      </w:r>
      <w:r>
        <w:rPr>
          <w:rFonts w:hint="eastAsia" w:ascii="宋体" w:hAnsi="宋体" w:eastAsia="方正仿宋_GBK"/>
          <w:color w:val="auto"/>
          <w:sz w:val="32"/>
        </w:rPr>
        <w:t>园区内知识产权质押融资金额和项目数年度增幅不少于30%；</w:t>
      </w:r>
    </w:p>
    <w:p w14:paraId="22663E38">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8.</w:t>
      </w:r>
      <w:r>
        <w:rPr>
          <w:rFonts w:hint="eastAsia" w:ascii="宋体" w:hAnsi="宋体" w:eastAsia="方正仿宋_GBK"/>
          <w:color w:val="auto"/>
          <w:sz w:val="32"/>
          <w:lang w:eastAsia="zh-CN"/>
        </w:rPr>
        <w:t>辐射带动产业链重点企业、高校和科研机构等不少于20家；</w:t>
      </w:r>
    </w:p>
    <w:p w14:paraId="7A0DE535">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9.</w:t>
      </w:r>
      <w:r>
        <w:rPr>
          <w:rFonts w:hint="eastAsia" w:ascii="宋体" w:hAnsi="宋体" w:eastAsia="方正仿宋_GBK"/>
          <w:color w:val="auto"/>
          <w:sz w:val="32"/>
        </w:rPr>
        <w:t>相关工作模式或专利转化成效得到省级以上相关部门或媒体充分认可，或被省级以上相关部门推广应用</w:t>
      </w:r>
      <w:r>
        <w:rPr>
          <w:rFonts w:hint="eastAsia" w:ascii="宋体" w:hAnsi="宋体" w:eastAsia="方正仿宋_GBK"/>
          <w:color w:val="auto"/>
          <w:sz w:val="32"/>
          <w:lang w:eastAsia="zh-CN"/>
        </w:rPr>
        <w:t>；</w:t>
      </w:r>
    </w:p>
    <w:p w14:paraId="657A2EFD">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lang w:val="en-US" w:eastAsia="zh-CN"/>
        </w:rPr>
        <w:t>10.</w:t>
      </w:r>
      <w:r>
        <w:rPr>
          <w:rFonts w:hint="eastAsia" w:ascii="宋体" w:hAnsi="宋体" w:eastAsia="方正仿宋_GBK"/>
          <w:color w:val="auto"/>
          <w:sz w:val="32"/>
          <w:lang w:eastAsia="zh-CN"/>
        </w:rPr>
        <w:t>在产业转型升级、强链补链增效、存量专利盘活、商标品牌建设和专利密集型产品培育等方面取得积极成效。</w:t>
      </w:r>
    </w:p>
    <w:p w14:paraId="7F9DEA5F">
      <w:pPr>
        <w:pStyle w:val="9"/>
        <w:spacing w:line="570" w:lineRule="exact"/>
        <w:ind w:firstLine="640" w:firstLineChars="200"/>
        <w:jc w:val="both"/>
        <w:rPr>
          <w:rFonts w:hint="eastAsia" w:ascii="宋体" w:hAnsi="宋体" w:eastAsia="方正黑体_GBK"/>
          <w:color w:val="auto"/>
          <w:sz w:val="32"/>
          <w:szCs w:val="32"/>
        </w:rPr>
      </w:pPr>
      <w:r>
        <w:rPr>
          <w:rFonts w:hint="eastAsia" w:ascii="宋体" w:hAnsi="宋体" w:eastAsia="方正黑体_GBK"/>
          <w:color w:val="auto"/>
          <w:sz w:val="32"/>
          <w:szCs w:val="32"/>
          <w:lang w:eastAsia="zh-CN"/>
        </w:rPr>
        <w:t>四</w:t>
      </w:r>
      <w:r>
        <w:rPr>
          <w:rFonts w:hint="eastAsia" w:ascii="宋体" w:hAnsi="宋体" w:eastAsia="方正黑体_GBK"/>
          <w:color w:val="auto"/>
          <w:sz w:val="32"/>
          <w:szCs w:val="32"/>
        </w:rPr>
        <w:t>、组织方式</w:t>
      </w:r>
    </w:p>
    <w:p w14:paraId="15EE4E0C">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（一）申报单位按要求提交申报材料，签订信用承诺书，</w:t>
      </w:r>
      <w:r>
        <w:rPr>
          <w:rFonts w:hint="eastAsia" w:ascii="宋体" w:hAnsi="宋体" w:eastAsia="方正仿宋_GBK"/>
          <w:color w:val="auto"/>
          <w:sz w:val="32"/>
          <w:lang w:val="en-US" w:eastAsia="zh-CN"/>
        </w:rPr>
        <w:t>并</w:t>
      </w:r>
      <w:r>
        <w:rPr>
          <w:rFonts w:hint="eastAsia" w:ascii="宋体" w:hAnsi="宋体" w:eastAsia="方正仿宋_GBK"/>
          <w:color w:val="auto"/>
          <w:sz w:val="32"/>
        </w:rPr>
        <w:t>按属地原则逐级上报。</w:t>
      </w:r>
      <w:r>
        <w:rPr>
          <w:rFonts w:hint="eastAsia" w:ascii="宋体" w:hAnsi="宋体" w:eastAsia="方正仿宋_GBK" w:cs="方正仿宋_GBK"/>
          <w:bCs/>
          <w:sz w:val="32"/>
        </w:rPr>
        <w:t>县（市、区）知识产权局具体负责辖区项目的组织受理和材料审核工作，出具推荐意见，报送至设区市知识产权局；设区市知识产权局进行初审，严格把关，择优推荐，统一报送省知识产权局</w:t>
      </w:r>
      <w:r>
        <w:rPr>
          <w:rFonts w:hint="eastAsia" w:ascii="宋体" w:hAnsi="宋体" w:eastAsia="方正仿宋_GBK"/>
          <w:color w:val="auto"/>
          <w:sz w:val="32"/>
        </w:rPr>
        <w:t>。</w:t>
      </w:r>
    </w:p>
    <w:p w14:paraId="651C729F">
      <w:pPr>
        <w:adjustRightInd w:val="0"/>
        <w:snapToGrid w:val="0"/>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szCs w:val="32"/>
          <w:lang w:val="en-US" w:eastAsia="zh-CN"/>
        </w:rPr>
        <w:t>（二）</w:t>
      </w:r>
      <w:r>
        <w:rPr>
          <w:rFonts w:ascii="宋体" w:hAnsi="宋体" w:eastAsia="方正仿宋_GBK"/>
          <w:color w:val="auto"/>
          <w:sz w:val="32"/>
          <w:szCs w:val="32"/>
        </w:rPr>
        <w:t>省知识产权局</w:t>
      </w:r>
      <w:r>
        <w:rPr>
          <w:rFonts w:hint="eastAsia" w:ascii="宋体" w:hAnsi="宋体" w:eastAsia="方正仿宋_GBK"/>
          <w:color w:val="auto"/>
          <w:sz w:val="32"/>
          <w:szCs w:val="32"/>
        </w:rPr>
        <w:t>组织</w:t>
      </w:r>
      <w:r>
        <w:rPr>
          <w:rFonts w:hint="eastAsia" w:ascii="宋体" w:hAnsi="宋体" w:eastAsia="方正仿宋_GBK"/>
          <w:color w:val="auto"/>
          <w:sz w:val="32"/>
        </w:rPr>
        <w:t>评审，研究确定</w:t>
      </w:r>
      <w:r>
        <w:rPr>
          <w:rFonts w:hint="eastAsia" w:ascii="宋体" w:hAnsi="宋体" w:eastAsia="方正仿宋_GBK"/>
          <w:color w:val="auto"/>
          <w:sz w:val="32"/>
          <w:lang w:eastAsia="zh-CN"/>
        </w:rPr>
        <w:t>入库项目单位</w:t>
      </w:r>
      <w:r>
        <w:rPr>
          <w:rFonts w:hint="eastAsia" w:ascii="宋体" w:hAnsi="宋体" w:eastAsia="方正仿宋_GBK"/>
          <w:color w:val="auto"/>
          <w:sz w:val="32"/>
        </w:rPr>
        <w:t>。</w:t>
      </w:r>
    </w:p>
    <w:p w14:paraId="18CED144">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（三）项目实施期限为2年</w:t>
      </w:r>
      <w:r>
        <w:rPr>
          <w:rFonts w:hint="eastAsia" w:ascii="宋体" w:hAnsi="宋体" w:eastAsia="方正仿宋_GBK"/>
          <w:color w:val="auto"/>
          <w:sz w:val="32"/>
          <w:lang w:eastAsia="zh-CN"/>
        </w:rPr>
        <w:t>，省知识产权局按有关规定组织中期检查和验收</w:t>
      </w:r>
      <w:r>
        <w:rPr>
          <w:rFonts w:hint="eastAsia" w:ascii="黑体" w:hAnsi="黑体" w:eastAsia="黑体" w:cs="黑体"/>
          <w:color w:val="auto"/>
          <w:sz w:val="32"/>
        </w:rPr>
        <w:t>。</w:t>
      </w:r>
    </w:p>
    <w:p w14:paraId="13D12815">
      <w:pPr>
        <w:pStyle w:val="9"/>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lang w:eastAsia="zh-CN"/>
        </w:rPr>
        <w:t>五</w:t>
      </w:r>
      <w:r>
        <w:rPr>
          <w:rFonts w:hint="eastAsia" w:ascii="宋体" w:hAnsi="宋体" w:eastAsia="方正黑体_GBK"/>
          <w:color w:val="auto"/>
          <w:sz w:val="32"/>
          <w:szCs w:val="32"/>
        </w:rPr>
        <w:t>、申报要求</w:t>
      </w:r>
    </w:p>
    <w:p w14:paraId="2400D7A0">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（一）各设区市推荐数量不超过2个。</w:t>
      </w:r>
    </w:p>
    <w:p w14:paraId="5EC18369">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（二）申报材料应真实、准确、规范，如发现弄虚作假</w:t>
      </w:r>
      <w:r>
        <w:rPr>
          <w:rFonts w:hint="eastAsia" w:ascii="宋体" w:hAnsi="宋体" w:eastAsia="方正仿宋_GBK" w:cs="方正仿宋_GBK"/>
          <w:bCs/>
          <w:sz w:val="32"/>
        </w:rPr>
        <w:t>、侵犯他人知识产权</w:t>
      </w:r>
      <w:r>
        <w:rPr>
          <w:rFonts w:hint="eastAsia" w:ascii="宋体" w:hAnsi="宋体" w:eastAsia="方正仿宋_GBK"/>
          <w:color w:val="auto"/>
          <w:sz w:val="32"/>
        </w:rPr>
        <w:t>等行为的，一经查实，将取消</w:t>
      </w:r>
      <w:r>
        <w:rPr>
          <w:rFonts w:hint="eastAsia" w:ascii="宋体" w:hAnsi="宋体" w:eastAsia="方正仿宋_GBK"/>
          <w:color w:val="auto"/>
          <w:sz w:val="32"/>
          <w:lang w:eastAsia="zh-CN"/>
        </w:rPr>
        <w:t>入库</w:t>
      </w:r>
      <w:r>
        <w:rPr>
          <w:rFonts w:hint="eastAsia" w:ascii="宋体" w:hAnsi="宋体" w:eastAsia="方正仿宋_GBK"/>
          <w:color w:val="auto"/>
          <w:sz w:val="32"/>
        </w:rPr>
        <w:t>资格</w:t>
      </w:r>
      <w:r>
        <w:rPr>
          <w:rFonts w:hint="eastAsia" w:ascii="宋体" w:hAnsi="宋体" w:eastAsia="方正仿宋_GBK" w:cs="方正仿宋_GBK"/>
          <w:bCs/>
          <w:sz w:val="32"/>
        </w:rPr>
        <w:t>，并记入信用档案</w:t>
      </w:r>
      <w:r>
        <w:rPr>
          <w:rFonts w:hint="eastAsia" w:ascii="宋体" w:hAnsi="宋体" w:eastAsia="方正仿宋_GBK"/>
          <w:color w:val="auto"/>
          <w:sz w:val="32"/>
        </w:rPr>
        <w:t>。</w:t>
      </w:r>
    </w:p>
    <w:p w14:paraId="6B85897D">
      <w:pPr>
        <w:adjustRightInd w:val="0"/>
        <w:snapToGrid w:val="0"/>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rPr>
        <w:t>（三）</w:t>
      </w:r>
      <w:r>
        <w:rPr>
          <w:rFonts w:hint="eastAsia" w:ascii="宋体" w:hAnsi="宋体" w:eastAsia="方正仿宋_GBK"/>
          <w:snapToGrid w:val="0"/>
          <w:color w:val="auto"/>
          <w:kern w:val="0"/>
          <w:sz w:val="32"/>
          <w:szCs w:val="32"/>
          <w:lang w:eastAsia="zh-CN"/>
        </w:rPr>
        <w:t>全面推行无纸化申报，</w:t>
      </w:r>
      <w:r>
        <w:rPr>
          <w:rFonts w:hint="eastAsia" w:ascii="宋体" w:hAnsi="宋体" w:eastAsia="方正仿宋_GBK"/>
          <w:snapToGrid w:val="0"/>
          <w:color w:val="auto"/>
          <w:kern w:val="0"/>
          <w:sz w:val="32"/>
          <w:szCs w:val="32"/>
        </w:rPr>
        <w:t>申报单位</w:t>
      </w:r>
      <w:r>
        <w:rPr>
          <w:rFonts w:hint="eastAsia" w:ascii="宋体" w:hAnsi="宋体" w:eastAsia="方正仿宋_GBK"/>
          <w:color w:val="auto"/>
          <w:sz w:val="32"/>
        </w:rPr>
        <w:t>登录</w:t>
      </w:r>
      <w:r>
        <w:rPr>
          <w:rFonts w:hint="eastAsia" w:ascii="宋体" w:hAnsi="宋体" w:eastAsia="方正仿宋_GBK"/>
          <w:color w:val="auto"/>
          <w:sz w:val="32"/>
          <w:lang w:eastAsia="zh-CN"/>
        </w:rPr>
        <w:t>“</w:t>
      </w:r>
      <w:r>
        <w:rPr>
          <w:rFonts w:hint="eastAsia" w:ascii="宋体" w:hAnsi="宋体" w:eastAsia="方正仿宋_GBK"/>
          <w:bCs/>
          <w:sz w:val="32"/>
          <w:szCs w:val="32"/>
        </w:rPr>
        <w:t>江苏省知识产权数智创新赋能平台</w:t>
      </w:r>
      <w:r>
        <w:rPr>
          <w:rFonts w:hint="eastAsia" w:ascii="宋体" w:hAnsi="宋体" w:eastAsia="方正仿宋_GBK"/>
          <w:bCs/>
          <w:sz w:val="32"/>
        </w:rPr>
        <w:t>”（https://www.jsipp.cn），通过“一站式管理——申报与管理”提交项目申报材料，信用承诺书签字盖章扫描后，以附件形式上传，其他附件材料应传尽传</w:t>
      </w:r>
      <w:r>
        <w:rPr>
          <w:rFonts w:hint="eastAsia" w:ascii="宋体" w:hAnsi="宋体" w:eastAsia="方正仿宋_GBK"/>
          <w:bCs/>
          <w:sz w:val="32"/>
          <w:lang w:eastAsia="zh-CN"/>
        </w:rPr>
        <w:t>。</w:t>
      </w:r>
      <w:bookmarkStart w:id="0" w:name="_GoBack"/>
      <w:bookmarkEnd w:id="0"/>
    </w:p>
    <w:p w14:paraId="4BD90A59">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（四）项目申报截止日期为202</w:t>
      </w:r>
      <w:r>
        <w:rPr>
          <w:rFonts w:hint="eastAsia" w:ascii="宋体" w:hAnsi="宋体" w:eastAsia="方正仿宋_GBK"/>
          <w:color w:val="auto"/>
          <w:sz w:val="32"/>
          <w:lang w:val="en-US" w:eastAsia="zh-CN"/>
        </w:rPr>
        <w:t>6</w:t>
      </w:r>
      <w:r>
        <w:rPr>
          <w:rFonts w:hint="eastAsia" w:ascii="宋体" w:hAnsi="宋体" w:eastAsia="方正仿宋_GBK"/>
          <w:color w:val="auto"/>
          <w:sz w:val="32"/>
        </w:rPr>
        <w:t>年</w:t>
      </w:r>
      <w:r>
        <w:rPr>
          <w:rFonts w:hint="eastAsia" w:ascii="宋体" w:hAnsi="宋体" w:eastAsia="方正仿宋_GBK"/>
          <w:color w:val="auto"/>
          <w:sz w:val="32"/>
          <w:lang w:val="en-US" w:eastAsia="zh-CN"/>
        </w:rPr>
        <w:t>5</w:t>
      </w:r>
      <w:r>
        <w:rPr>
          <w:rFonts w:hint="eastAsia" w:ascii="宋体" w:hAnsi="宋体" w:eastAsia="方正仿宋_GBK"/>
          <w:color w:val="auto"/>
          <w:sz w:val="32"/>
        </w:rPr>
        <w:t>月</w:t>
      </w:r>
      <w:r>
        <w:rPr>
          <w:rFonts w:hint="eastAsia" w:ascii="宋体" w:hAnsi="宋体" w:eastAsia="方正仿宋_GBK"/>
          <w:color w:val="auto"/>
          <w:sz w:val="32"/>
          <w:lang w:val="en-US" w:eastAsia="zh-CN"/>
        </w:rPr>
        <w:t>31</w:t>
      </w:r>
      <w:r>
        <w:rPr>
          <w:rFonts w:hint="eastAsia" w:ascii="宋体" w:hAnsi="宋体" w:eastAsia="方正仿宋_GBK"/>
          <w:color w:val="auto"/>
          <w:sz w:val="32"/>
        </w:rPr>
        <w:t>日。</w:t>
      </w:r>
    </w:p>
    <w:p w14:paraId="2C8BAC1B">
      <w:pPr>
        <w:pStyle w:val="8"/>
        <w:rPr>
          <w:color w:val="auto"/>
        </w:rPr>
      </w:pPr>
    </w:p>
    <w:p w14:paraId="181BF6E3">
      <w:pPr>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rPr>
        <w:t>联系人：省知识产权局知识产权服务处  张静、</w:t>
      </w:r>
      <w:r>
        <w:rPr>
          <w:rFonts w:hint="eastAsia" w:ascii="宋体" w:hAnsi="宋体" w:eastAsia="方正仿宋_GBK"/>
          <w:color w:val="auto"/>
          <w:sz w:val="32"/>
          <w:lang w:val="en-US" w:eastAsia="zh-CN"/>
        </w:rPr>
        <w:t>何萍</w:t>
      </w:r>
    </w:p>
    <w:p w14:paraId="26A45E11">
      <w:pPr>
        <w:spacing w:line="570" w:lineRule="exact"/>
        <w:ind w:firstLine="640" w:firstLineChars="200"/>
        <w:rPr>
          <w:rFonts w:hint="eastAsia" w:ascii="宋体" w:hAnsi="宋体" w:eastAsia="方正仿宋_GBK"/>
          <w:color w:val="auto"/>
          <w:lang w:val="en-US" w:eastAsia="zh-CN"/>
        </w:rPr>
      </w:pPr>
      <w:r>
        <w:rPr>
          <w:rFonts w:hint="eastAsia" w:ascii="宋体" w:hAnsi="宋体" w:eastAsia="方正仿宋_GBK"/>
          <w:color w:val="auto"/>
          <w:sz w:val="32"/>
        </w:rPr>
        <w:t>电  话：025-83279967</w:t>
      </w:r>
      <w:r>
        <w:rPr>
          <w:rFonts w:hint="eastAsia" w:ascii="宋体" w:hAnsi="宋体" w:eastAsia="方正仿宋_GBK"/>
          <w:color w:val="auto"/>
          <w:sz w:val="32"/>
          <w:lang w:val="en-US" w:eastAsia="zh-CN"/>
        </w:rPr>
        <w:t xml:space="preserve"> 025-83279968</w:t>
      </w:r>
    </w:p>
    <w:sectPr>
      <w:footerReference r:id="rId3" w:type="default"/>
      <w:pgSz w:w="11906" w:h="16838"/>
      <w:pgMar w:top="2098" w:right="1474" w:bottom="1984"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5DF364-542B-4552-9690-E01671861C0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21EC277C-98D9-4A3C-846D-749669D85B31}"/>
  </w:font>
  <w:font w:name="方正楷体_GBK">
    <w:panose1 w:val="02000000000000000000"/>
    <w:charset w:val="86"/>
    <w:family w:val="script"/>
    <w:pitch w:val="default"/>
    <w:sig w:usb0="A00002BF" w:usb1="38CF7CFA" w:usb2="00082016" w:usb3="00000000" w:csb0="00040001" w:csb1="00000000"/>
    <w:embedRegular r:id="rId3" w:fontKey="{EFA4E06F-8CD9-4196-8634-BD13276B728D}"/>
  </w:font>
  <w:font w:name="方正黑体_GBK">
    <w:panose1 w:val="02010600010101010101"/>
    <w:charset w:val="86"/>
    <w:family w:val="script"/>
    <w:pitch w:val="default"/>
    <w:sig w:usb0="00000001" w:usb1="080E0000" w:usb2="00000000" w:usb3="00000000" w:csb0="00040000" w:csb1="00000000"/>
    <w:embedRegular r:id="rId4" w:fontKey="{4FE82059-77DB-4C61-AA2F-6449B5FAA54C}"/>
  </w:font>
  <w:font w:name="方正仿宋_GBK">
    <w:panose1 w:val="02000000000000000000"/>
    <w:charset w:val="86"/>
    <w:family w:val="script"/>
    <w:pitch w:val="default"/>
    <w:sig w:usb0="A00002BF" w:usb1="38CF7CFA" w:usb2="00082016" w:usb3="00000000" w:csb0="00040001" w:csb1="00000000"/>
    <w:embedRegular r:id="rId5" w:fontKey="{CAACDC0F-FF91-49E2-9133-014598DB6C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1F1DA">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40E34">
                          <w:pPr>
                            <w:pStyle w:val="4"/>
                            <w:ind w:left="210" w:leftChars="100" w:right="210" w:rightChars="1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040E34">
                    <w:pPr>
                      <w:pStyle w:val="4"/>
                      <w:ind w:left="210" w:leftChars="100" w:right="210" w:rightChars="1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0NTFlYWFiNDFiMjgyYjFlYTZiZTY1NWY3YWYwNTMifQ=="/>
  </w:docVars>
  <w:rsids>
    <w:rsidRoot w:val="47443FF5"/>
    <w:rsid w:val="000E54F8"/>
    <w:rsid w:val="001B59E3"/>
    <w:rsid w:val="0025186A"/>
    <w:rsid w:val="00267947"/>
    <w:rsid w:val="003D0657"/>
    <w:rsid w:val="00665158"/>
    <w:rsid w:val="008529C8"/>
    <w:rsid w:val="00873EAD"/>
    <w:rsid w:val="008C3E82"/>
    <w:rsid w:val="00A82674"/>
    <w:rsid w:val="00AC0E71"/>
    <w:rsid w:val="00B54562"/>
    <w:rsid w:val="00BA1AD9"/>
    <w:rsid w:val="00BC1672"/>
    <w:rsid w:val="00C61991"/>
    <w:rsid w:val="00C75F14"/>
    <w:rsid w:val="00CB4309"/>
    <w:rsid w:val="00D90D50"/>
    <w:rsid w:val="01A249C3"/>
    <w:rsid w:val="036B7036"/>
    <w:rsid w:val="04597C28"/>
    <w:rsid w:val="04866F1B"/>
    <w:rsid w:val="04C95549"/>
    <w:rsid w:val="067D50AD"/>
    <w:rsid w:val="0B0D6E40"/>
    <w:rsid w:val="0B955598"/>
    <w:rsid w:val="0C2C7CAB"/>
    <w:rsid w:val="0DC50858"/>
    <w:rsid w:val="0E233EDF"/>
    <w:rsid w:val="0F8A2683"/>
    <w:rsid w:val="112A4C5F"/>
    <w:rsid w:val="124A6CFE"/>
    <w:rsid w:val="14B94A0A"/>
    <w:rsid w:val="1AF105C4"/>
    <w:rsid w:val="1E095D49"/>
    <w:rsid w:val="1EEF80F8"/>
    <w:rsid w:val="215A29AE"/>
    <w:rsid w:val="21C73E21"/>
    <w:rsid w:val="22D16A5E"/>
    <w:rsid w:val="233139A1"/>
    <w:rsid w:val="24407D5D"/>
    <w:rsid w:val="28902F18"/>
    <w:rsid w:val="2A7B6455"/>
    <w:rsid w:val="2A897079"/>
    <w:rsid w:val="2C892A75"/>
    <w:rsid w:val="2D1660E1"/>
    <w:rsid w:val="2DEE6A6A"/>
    <w:rsid w:val="2EDA4EED"/>
    <w:rsid w:val="2EFA439C"/>
    <w:rsid w:val="2FAF0127"/>
    <w:rsid w:val="304E0289"/>
    <w:rsid w:val="31012C04"/>
    <w:rsid w:val="33C74443"/>
    <w:rsid w:val="34833930"/>
    <w:rsid w:val="35D14277"/>
    <w:rsid w:val="36C91572"/>
    <w:rsid w:val="37174BEF"/>
    <w:rsid w:val="371B42F4"/>
    <w:rsid w:val="3768099F"/>
    <w:rsid w:val="37CC640D"/>
    <w:rsid w:val="38EF27C6"/>
    <w:rsid w:val="3BDA652C"/>
    <w:rsid w:val="3D92191F"/>
    <w:rsid w:val="3F690D92"/>
    <w:rsid w:val="3FDB1988"/>
    <w:rsid w:val="41AF045B"/>
    <w:rsid w:val="429F1D34"/>
    <w:rsid w:val="43866F99"/>
    <w:rsid w:val="448D7C71"/>
    <w:rsid w:val="46AC4F69"/>
    <w:rsid w:val="470364B4"/>
    <w:rsid w:val="47443FF5"/>
    <w:rsid w:val="48C448A8"/>
    <w:rsid w:val="4A365988"/>
    <w:rsid w:val="4BE60F1D"/>
    <w:rsid w:val="4DB1734D"/>
    <w:rsid w:val="4DE57FEE"/>
    <w:rsid w:val="4E4243F2"/>
    <w:rsid w:val="4EC15972"/>
    <w:rsid w:val="4EDF77FD"/>
    <w:rsid w:val="520E0886"/>
    <w:rsid w:val="57AF04D8"/>
    <w:rsid w:val="57F93C57"/>
    <w:rsid w:val="58D77C23"/>
    <w:rsid w:val="5A39145E"/>
    <w:rsid w:val="5B76419F"/>
    <w:rsid w:val="5D2E6280"/>
    <w:rsid w:val="647924D6"/>
    <w:rsid w:val="66115A83"/>
    <w:rsid w:val="66F65041"/>
    <w:rsid w:val="686605C9"/>
    <w:rsid w:val="6A5B7A2B"/>
    <w:rsid w:val="6C9F2CF6"/>
    <w:rsid w:val="6F0156EF"/>
    <w:rsid w:val="6FEC0491"/>
    <w:rsid w:val="70C607C8"/>
    <w:rsid w:val="717731E1"/>
    <w:rsid w:val="722F470F"/>
    <w:rsid w:val="72DB0D70"/>
    <w:rsid w:val="73326672"/>
    <w:rsid w:val="73AB36B3"/>
    <w:rsid w:val="74831487"/>
    <w:rsid w:val="76B26A4C"/>
    <w:rsid w:val="77493F8A"/>
    <w:rsid w:val="7882428B"/>
    <w:rsid w:val="791F528E"/>
    <w:rsid w:val="79756840"/>
    <w:rsid w:val="7A293DDD"/>
    <w:rsid w:val="7F15170F"/>
    <w:rsid w:val="8F796D92"/>
    <w:rsid w:val="9BFD5902"/>
    <w:rsid w:val="9F7E0BB5"/>
    <w:rsid w:val="ABDE150F"/>
    <w:rsid w:val="BF6FFA87"/>
    <w:rsid w:val="CFFF8DFF"/>
    <w:rsid w:val="DF6F9675"/>
    <w:rsid w:val="FDFC1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_Style 2"/>
    <w:qFormat/>
    <w:uiPriority w:val="99"/>
    <w:pPr>
      <w:widowControl w:val="0"/>
      <w:spacing w:line="351" w:lineRule="atLeast"/>
      <w:ind w:firstLine="623"/>
      <w:jc w:val="both"/>
      <w:textAlignment w:val="baseline"/>
    </w:pPr>
    <w:rPr>
      <w:rFonts w:ascii="等线" w:hAnsi="等线" w:eastAsia="仿宋_GB2312" w:cs="等线"/>
      <w:color w:val="000000"/>
      <w:kern w:val="2"/>
      <w:sz w:val="31"/>
      <w:lang w:val="en-US" w:eastAsia="zh-CN" w:bidi="ar-SA"/>
    </w:rPr>
  </w:style>
  <w:style w:type="paragraph" w:customStyle="1" w:styleId="9">
    <w:name w:val="标题1"/>
    <w:basedOn w:val="1"/>
    <w:next w:val="1"/>
    <w:qFormat/>
    <w:uiPriority w:val="0"/>
    <w:pPr>
      <w:tabs>
        <w:tab w:val="left" w:pos="9193"/>
        <w:tab w:val="left" w:pos="9827"/>
      </w:tabs>
      <w:spacing w:line="640" w:lineRule="atLeast"/>
      <w:jc w:val="center"/>
    </w:pPr>
    <w:rPr>
      <w:rFonts w:eastAsia="方正小标宋_GBK"/>
      <w:sz w:val="44"/>
    </w:rPr>
  </w:style>
  <w:style w:type="character" w:customStyle="1" w:styleId="10">
    <w:name w:val="批注框文本 字符"/>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2196</Words>
  <Characters>2281</Characters>
  <Lines>64</Lines>
  <Paragraphs>32</Paragraphs>
  <TotalTime>0</TotalTime>
  <ScaleCrop>false</ScaleCrop>
  <LinksUpToDate>false</LinksUpToDate>
  <CharactersWithSpaces>2288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2024-12-23T16:27:00Z</dcterms:created>
  <dc:creator>ZXJ</dc:creator>
  <cp:lastModifiedBy>linrong</cp:lastModifiedBy>
  <cp:lastPrinted>2026-04-03T03:11:00Z</cp:lastPrinted>
  <dcterms:modified xsi:type="dcterms:W3CDTF">2026-04-30T02:23:35Z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9411B250B55C40EDABA3AE4AF239D8B7_13</vt:lpwstr>
  </property>
  <property fmtid="{D5CDD505-2E9C-101B-9397-08002B2CF9AE}" pid="4" name="KSOTemplateDocerSaveRecord">
    <vt:lpwstr>eyJoZGlkIjoiNWRiOTIxODc5MDQzOTY1MThlNmNmMTA4ZjE4NzM2NWYiLCJ1c2VySWQiOiIxNTY4NDkwMDg3In0=</vt:lpwstr>
  </property>
</Properties>
</file>