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6B8B7B">
      <w:pPr>
        <w:spacing w:line="590" w:lineRule="exact"/>
        <w:ind w:firstLine="0"/>
        <w:jc w:val="left"/>
        <w:rPr>
          <w:rFonts w:ascii="方正黑体_GBK" w:hAnsi="方正黑体_GBK" w:eastAsia="方正黑体_GBK" w:cs="方正黑体_GBK"/>
          <w:b/>
        </w:rPr>
      </w:pPr>
      <w:r>
        <w:rPr>
          <w:rFonts w:hint="eastAsia" w:ascii="方正黑体_GBK" w:hAnsi="方正黑体_GBK" w:eastAsia="方正黑体_GBK" w:cs="方正黑体_GBK"/>
          <w:b/>
        </w:rPr>
        <w:t>附件2</w:t>
      </w:r>
    </w:p>
    <w:p w14:paraId="73A32C0D">
      <w:pPr>
        <w:spacing w:line="590" w:lineRule="exact"/>
        <w:ind w:firstLine="0"/>
        <w:jc w:val="center"/>
        <w:rPr>
          <w:rFonts w:ascii="宋体" w:hAnsi="宋体" w:eastAsia="方正小标宋_GBK"/>
          <w:b/>
          <w:kern w:val="32"/>
          <w:sz w:val="44"/>
        </w:rPr>
      </w:pPr>
    </w:p>
    <w:p w14:paraId="785D0436">
      <w:pPr>
        <w:spacing w:line="590" w:lineRule="exact"/>
        <w:ind w:firstLine="0"/>
        <w:jc w:val="center"/>
        <w:rPr>
          <w:rFonts w:ascii="方正小标宋_GBK" w:hAnsi="方正小标宋_GBK" w:eastAsia="方正小标宋_GBK" w:cs="方正小标宋_GBK"/>
          <w:b/>
          <w:bCs/>
          <w:kern w:val="32"/>
          <w:sz w:val="44"/>
        </w:rPr>
      </w:pPr>
      <w:r>
        <w:rPr>
          <w:rFonts w:hint="eastAsia" w:ascii="方正小标宋_GBK" w:hAnsi="方正小标宋_GBK" w:eastAsia="方正小标宋_GBK" w:cs="方正小标宋_GBK"/>
          <w:b/>
          <w:bCs/>
          <w:kern w:val="32"/>
          <w:sz w:val="44"/>
        </w:rPr>
        <w:t>关于《江苏省国家级知识产权保护中心专利申请预审服务管理办法》的起草说明</w:t>
      </w:r>
    </w:p>
    <w:p w14:paraId="424791AE">
      <w:pPr>
        <w:spacing w:line="590" w:lineRule="exact"/>
        <w:rPr>
          <w:rFonts w:ascii="宋体" w:hAnsi="宋体"/>
          <w:b/>
        </w:rPr>
      </w:pPr>
    </w:p>
    <w:p w14:paraId="128693FE">
      <w:pPr>
        <w:spacing w:line="590" w:lineRule="exact"/>
        <w:rPr>
          <w:rFonts w:ascii="方正黑体_GBK" w:hAnsi="方正黑体_GBK" w:eastAsia="方正黑体_GBK"/>
          <w:b/>
        </w:rPr>
      </w:pPr>
      <w:r>
        <w:rPr>
          <w:rFonts w:hint="eastAsia" w:ascii="方正黑体_GBK" w:hAnsi="方正黑体_GBK" w:eastAsia="方正黑体_GBK"/>
          <w:b/>
        </w:rPr>
        <w:t>一、制定背景</w:t>
      </w:r>
    </w:p>
    <w:p w14:paraId="157AC178">
      <w:pPr>
        <w:spacing w:line="590" w:lineRule="exact"/>
        <w:rPr>
          <w:rFonts w:ascii="宋体" w:hAnsi="宋体"/>
          <w:b/>
        </w:rPr>
      </w:pPr>
      <w:r>
        <w:rPr>
          <w:rFonts w:hint="eastAsia" w:ascii="宋体" w:hAnsi="宋体"/>
          <w:b/>
        </w:rPr>
        <w:t>6月2</w:t>
      </w:r>
      <w:r>
        <w:rPr>
          <w:rFonts w:ascii="宋体" w:hAnsi="宋体"/>
          <w:b/>
        </w:rPr>
        <w:t>7</w:t>
      </w:r>
      <w:r>
        <w:rPr>
          <w:rFonts w:hint="eastAsia" w:ascii="宋体" w:hAnsi="宋体"/>
          <w:b/>
        </w:rPr>
        <w:t>日，国家知识产权局召开6月例行新闻发布会，会议指出，国家知识产权局将今年确定为“知识产权快速协同保护制度建设年”，将“加强专利预审资源配置、提高预审质量、更好更高效服务创新”作为重点工作，并提出将建立国家级知识产权保护中心精准服务备案主体名单，对列入名单的创新主体，保护中心将提供有针对性的专利预审、维权援助、纠纷调解、专利导航等服务；匹配优质专利代理机构提供高水平服务；对重点主体加强主动对接，提供精准服务，</w:t>
      </w:r>
      <w:bookmarkStart w:id="0" w:name="_Hlk207042250"/>
      <w:r>
        <w:rPr>
          <w:rFonts w:hint="eastAsia" w:ascii="宋体" w:hAnsi="宋体"/>
          <w:b/>
        </w:rPr>
        <w:t>加强专利预审资源跨区域统筹协调</w:t>
      </w:r>
      <w:bookmarkEnd w:id="0"/>
      <w:r>
        <w:rPr>
          <w:rFonts w:hint="eastAsia" w:ascii="宋体" w:hAnsi="宋体"/>
          <w:b/>
        </w:rPr>
        <w:t>等系列工作安排。</w:t>
      </w:r>
    </w:p>
    <w:p w14:paraId="064E3045">
      <w:pPr>
        <w:spacing w:line="590" w:lineRule="exact"/>
        <w:rPr>
          <w:rFonts w:ascii="宋体" w:hAnsi="宋体"/>
          <w:b/>
        </w:rPr>
      </w:pPr>
      <w:r>
        <w:rPr>
          <w:rFonts w:hint="eastAsia" w:ascii="宋体" w:hAnsi="宋体"/>
          <w:b/>
        </w:rPr>
        <w:t>截</w:t>
      </w:r>
      <w:r>
        <w:rPr>
          <w:rFonts w:hint="eastAsia" w:ascii="宋体" w:hAnsi="宋体"/>
          <w:b/>
          <w:lang w:eastAsia="zh-CN"/>
        </w:rPr>
        <w:t>至</w:t>
      </w:r>
      <w:r>
        <w:rPr>
          <w:rFonts w:hint="eastAsia" w:ascii="宋体" w:hAnsi="宋体"/>
          <w:b/>
        </w:rPr>
        <w:t>目前，江苏省拥有国家级知识产权保护中心9个，涉及产业技术领域1</w:t>
      </w:r>
      <w:r>
        <w:rPr>
          <w:rFonts w:ascii="宋体" w:hAnsi="宋体"/>
          <w:b/>
        </w:rPr>
        <w:t>7</w:t>
      </w:r>
      <w:r>
        <w:rPr>
          <w:rFonts w:hint="eastAsia" w:ascii="宋体" w:hAnsi="宋体"/>
          <w:b/>
        </w:rPr>
        <w:t>个，是</w:t>
      </w:r>
      <w:bookmarkStart w:id="3" w:name="_GoBack"/>
      <w:bookmarkEnd w:id="3"/>
      <w:r>
        <w:rPr>
          <w:rFonts w:hint="eastAsia" w:ascii="宋体" w:hAnsi="宋体"/>
          <w:b/>
        </w:rPr>
        <w:t>全国保护中心拥有数量较多、产业技术领域覆盖较广的省份之一。为了加快打造发展新质生产力的重要阵地，</w:t>
      </w:r>
      <w:r>
        <w:rPr>
          <w:rFonts w:ascii="宋体" w:hAnsi="宋体"/>
          <w:b/>
        </w:rPr>
        <w:t>更好发挥经济大省的辐射带动力</w:t>
      </w:r>
      <w:r>
        <w:rPr>
          <w:rFonts w:hint="eastAsia" w:ascii="宋体" w:hAnsi="宋体"/>
          <w:b/>
        </w:rPr>
        <w:t>，推动科技创新和产业创新深度融合，迫切需要加强知识产权快速协同保护制度建设，推动加快形成全省统一的专利申请预审服务管理格局，引导高质量专利代理精准服务保障高水平创新，着力支撑全国统一大市场建设。</w:t>
      </w:r>
    </w:p>
    <w:p w14:paraId="3335F225">
      <w:pPr>
        <w:spacing w:line="590" w:lineRule="exact"/>
        <w:rPr>
          <w:rFonts w:ascii="方正黑体_GBK" w:hAnsi="方正黑体_GBK" w:eastAsia="方正黑体_GBK"/>
          <w:b/>
        </w:rPr>
      </w:pPr>
      <w:r>
        <w:rPr>
          <w:rFonts w:hint="eastAsia" w:ascii="方正黑体_GBK" w:hAnsi="方正黑体_GBK" w:eastAsia="方正黑体_GBK"/>
          <w:b/>
        </w:rPr>
        <w:t>二、起草过程</w:t>
      </w:r>
    </w:p>
    <w:p w14:paraId="1021ACB0">
      <w:pPr>
        <w:spacing w:line="590" w:lineRule="exact"/>
        <w:rPr>
          <w:rFonts w:ascii="宋体" w:hAnsi="宋体"/>
          <w:b/>
        </w:rPr>
      </w:pPr>
      <w:r>
        <w:rPr>
          <w:rFonts w:hint="eastAsia" w:ascii="宋体" w:hAnsi="宋体"/>
          <w:b/>
        </w:rPr>
        <w:t>在前期深入开展调研和广泛征求意见的基础上，我局围绕“备案主体申请、代理机构登记、跨区域专利预审、专利预审规范化”等四个方面，反复研究，制定了《管理办法》（征求意见稿），并多次征求相关处室、部门意见，8月2</w:t>
      </w:r>
      <w:r>
        <w:rPr>
          <w:rFonts w:ascii="宋体" w:hAnsi="宋体"/>
          <w:b/>
        </w:rPr>
        <w:t>2</w:t>
      </w:r>
      <w:r>
        <w:rPr>
          <w:rFonts w:hint="eastAsia" w:ascii="宋体" w:hAnsi="宋体"/>
          <w:b/>
        </w:rPr>
        <w:t>日，召开全省设区市知识产权局和知识产权保护中心座谈会，专题征求意见建议，累计收到修改意见1</w:t>
      </w:r>
      <w:r>
        <w:rPr>
          <w:rFonts w:ascii="宋体" w:hAnsi="宋体"/>
          <w:b/>
        </w:rPr>
        <w:t>4</w:t>
      </w:r>
      <w:r>
        <w:rPr>
          <w:rFonts w:hint="eastAsia" w:ascii="宋体" w:hAnsi="宋体"/>
          <w:b/>
        </w:rPr>
        <w:t>条，对反馈的修改建议予以采纳。</w:t>
      </w:r>
    </w:p>
    <w:p w14:paraId="69A6FED1">
      <w:pPr>
        <w:spacing w:line="590" w:lineRule="exact"/>
        <w:rPr>
          <w:rFonts w:ascii="方正黑体_GBK" w:hAnsi="方正黑体_GBK" w:eastAsia="方正黑体_GBK"/>
          <w:b/>
        </w:rPr>
      </w:pPr>
      <w:r>
        <w:rPr>
          <w:rFonts w:hint="eastAsia" w:ascii="方正黑体_GBK" w:hAnsi="方正黑体_GBK" w:eastAsia="方正黑体_GBK"/>
          <w:b/>
        </w:rPr>
        <w:t>三、主要内容</w:t>
      </w:r>
    </w:p>
    <w:p w14:paraId="0156A965">
      <w:pPr>
        <w:spacing w:line="590" w:lineRule="exact"/>
        <w:rPr>
          <w:rFonts w:ascii="宋体" w:hAnsi="宋体"/>
          <w:b/>
        </w:rPr>
      </w:pPr>
      <w:r>
        <w:rPr>
          <w:rFonts w:hint="eastAsia" w:ascii="宋体" w:hAnsi="宋体"/>
          <w:b/>
        </w:rPr>
        <w:t>《管理办法》围绕全省专利预审服务管理“一联通、四统一”即：业务数据联通、准入条件统一、提交材料统一、审查标准统一、处置规则统一的目标，共计三十条。</w:t>
      </w:r>
      <w:r>
        <w:rPr>
          <w:rFonts w:hint="eastAsia" w:ascii="方正黑体_GBK" w:hAnsi="方正黑体_GBK" w:eastAsia="方正黑体_GBK"/>
          <w:b/>
        </w:rPr>
        <w:t>第一部分为总则，</w:t>
      </w:r>
      <w:r>
        <w:rPr>
          <w:rFonts w:hint="eastAsia" w:ascii="宋体" w:hAnsi="宋体"/>
          <w:b/>
        </w:rPr>
        <w:t>主要涉及制定目的和概念介绍，明确了办法适用范围，专利申请预审服务的具体内涵，强调专利申请预审服务遵循公平公益、主体自愿原则。</w:t>
      </w:r>
      <w:r>
        <w:rPr>
          <w:rFonts w:hint="eastAsia" w:ascii="方正黑体_GBK" w:hAnsi="方正黑体_GBK" w:eastAsia="方正黑体_GBK"/>
          <w:b/>
        </w:rPr>
        <w:t>第二部分为申请备案</w:t>
      </w:r>
      <w:r>
        <w:rPr>
          <w:rFonts w:hint="eastAsia" w:ascii="宋体" w:hAnsi="宋体"/>
          <w:b/>
        </w:rPr>
        <w:t>，主要涉及创新主体备案，明确了备案主体申请条件，以及备案所需材料和审核流程。</w:t>
      </w:r>
      <w:r>
        <w:rPr>
          <w:rFonts w:hint="eastAsia" w:ascii="方正黑体_GBK" w:hAnsi="方正黑体_GBK" w:eastAsia="方正黑体_GBK"/>
          <w:b/>
        </w:rPr>
        <w:t>第三部分为预审登记</w:t>
      </w:r>
      <w:r>
        <w:rPr>
          <w:rFonts w:hint="eastAsia" w:ascii="宋体" w:hAnsi="宋体"/>
          <w:b/>
        </w:rPr>
        <w:t>，主要涉及代理机构预审登记。明确了专利代理机构登记所需材料，并明确无特殊情由，保护中心不再接收专利代理机构精准服务保障名单之外的代理机构提交的专利申请预审案件。同时，</w:t>
      </w:r>
      <w:bookmarkStart w:id="1" w:name="_Hlk207407391"/>
      <w:r>
        <w:rPr>
          <w:rFonts w:hint="eastAsia" w:ascii="宋体" w:hAnsi="宋体"/>
          <w:b/>
        </w:rPr>
        <w:t>省知识产权局和各地知识产权保护中心，应积极引导推动代理机构申请纳入代理机构精准服务保障名单</w:t>
      </w:r>
      <w:bookmarkEnd w:id="1"/>
      <w:r>
        <w:rPr>
          <w:rFonts w:hint="eastAsia" w:ascii="宋体" w:hAnsi="宋体"/>
          <w:b/>
        </w:rPr>
        <w:t>。</w:t>
      </w:r>
      <w:r>
        <w:rPr>
          <w:rFonts w:hint="eastAsia" w:ascii="方正黑体_GBK" w:hAnsi="方正黑体_GBK" w:eastAsia="方正黑体_GBK"/>
          <w:b/>
        </w:rPr>
        <w:t>第四部分为跨区域预审服务</w:t>
      </w:r>
      <w:r>
        <w:rPr>
          <w:rFonts w:hint="eastAsia" w:ascii="宋体" w:hAnsi="宋体"/>
          <w:b/>
        </w:rPr>
        <w:t>，主要涉及跨区域专利预审，</w:t>
      </w:r>
      <w:bookmarkStart w:id="2" w:name="_Hlk207035268"/>
      <w:r>
        <w:rPr>
          <w:rFonts w:hint="eastAsia" w:ascii="宋体" w:hAnsi="宋体"/>
          <w:b/>
        </w:rPr>
        <w:t>办法提出</w:t>
      </w:r>
      <w:bookmarkEnd w:id="2"/>
      <w:r>
        <w:rPr>
          <w:rFonts w:hint="eastAsia" w:ascii="宋体" w:hAnsi="宋体"/>
          <w:b/>
        </w:rPr>
        <w:t>国家级知识产权保护中心精准服务备案主体名单第一、二类企事业单位，提供保护中心省内跨区域专利预审服务，明确实施跨区域专利预审服务的流程。</w:t>
      </w:r>
      <w:r>
        <w:rPr>
          <w:rFonts w:hint="eastAsia" w:ascii="方正黑体_GBK" w:hAnsi="方正黑体_GBK" w:eastAsia="方正黑体_GBK"/>
          <w:b/>
        </w:rPr>
        <w:t>第五部分为预审规范化管理，</w:t>
      </w:r>
      <w:r>
        <w:rPr>
          <w:rFonts w:hint="eastAsia" w:ascii="宋体" w:hAnsi="宋体"/>
          <w:b/>
        </w:rPr>
        <w:t>主要涉及专利预审规范化，提出加强专利预审质量管理的工作要求，明确对违反服务规范事项和承诺事项的备案主体和代理机构，给予提醒、暂停预审服务、取消备案资格、移出名单等处置方式。</w:t>
      </w:r>
      <w:r>
        <w:rPr>
          <w:rFonts w:hint="eastAsia" w:ascii="方正黑体_GBK" w:hAnsi="方正黑体_GBK" w:eastAsia="方正黑体_GBK"/>
          <w:b/>
        </w:rPr>
        <w:t>第六部分为附则，</w:t>
      </w:r>
      <w:r>
        <w:rPr>
          <w:rFonts w:hint="eastAsia" w:ascii="宋体" w:hAnsi="宋体"/>
          <w:b/>
        </w:rPr>
        <w:t>提出办法拟于2</w:t>
      </w:r>
      <w:r>
        <w:rPr>
          <w:rFonts w:ascii="宋体" w:hAnsi="宋体"/>
          <w:b/>
        </w:rPr>
        <w:t>025</w:t>
      </w:r>
      <w:r>
        <w:rPr>
          <w:rFonts w:hint="eastAsia" w:ascii="宋体" w:hAnsi="宋体"/>
          <w:b/>
        </w:rPr>
        <w:t>年1</w:t>
      </w:r>
      <w:r>
        <w:rPr>
          <w:rFonts w:ascii="宋体" w:hAnsi="宋体"/>
          <w:b/>
        </w:rPr>
        <w:t>0</w:t>
      </w:r>
      <w:r>
        <w:rPr>
          <w:rFonts w:hint="eastAsia" w:ascii="宋体" w:hAnsi="宋体"/>
          <w:b/>
        </w:rPr>
        <w:t>月1日起实施，并明确办法实施前，省内各保护中心发布的有关规定与本办法不一致的，按照本办法执行。</w:t>
      </w:r>
    </w:p>
    <w:p w14:paraId="1CEC368E">
      <w:pPr>
        <w:spacing w:line="590" w:lineRule="exact"/>
        <w:rPr>
          <w:rFonts w:ascii="方正黑体_GBK" w:hAnsi="方正黑体_GBK" w:eastAsia="方正黑体_GBK" w:cs="方正黑体_GBK"/>
          <w:b/>
        </w:rPr>
      </w:pPr>
      <w:r>
        <w:rPr>
          <w:rFonts w:hint="eastAsia" w:ascii="方正黑体_GBK" w:hAnsi="方正黑体_GBK" w:eastAsia="方正黑体_GBK" w:cs="方正黑体_GBK"/>
          <w:b/>
        </w:rPr>
        <w:t>四、需要特别说明事项</w:t>
      </w:r>
    </w:p>
    <w:p w14:paraId="723DDEF5">
      <w:pPr>
        <w:spacing w:line="590" w:lineRule="exact"/>
        <w:rPr>
          <w:rFonts w:ascii="宋体" w:hAnsi="宋体"/>
          <w:b/>
        </w:rPr>
      </w:pPr>
      <w:r>
        <w:rPr>
          <w:rFonts w:hint="eastAsia" w:ascii="方正楷体_GBK" w:hAnsi="方正楷体_GBK" w:eastAsia="方正楷体_GBK"/>
          <w:b/>
        </w:rPr>
        <w:t>（一）关于不再接受“专利代理机构精准服务保障名单”之外代理机构提交的预审案件。</w:t>
      </w:r>
      <w:r>
        <w:rPr>
          <w:rFonts w:hint="eastAsia" w:ascii="宋体" w:hAnsi="宋体"/>
          <w:b/>
        </w:rPr>
        <w:t>当前，全国8</w:t>
      </w:r>
      <w:r>
        <w:rPr>
          <w:rFonts w:ascii="宋体" w:hAnsi="宋体"/>
          <w:b/>
        </w:rPr>
        <w:t>5%</w:t>
      </w:r>
      <w:r>
        <w:rPr>
          <w:rFonts w:hint="eastAsia" w:ascii="宋体" w:hAnsi="宋体"/>
          <w:b/>
        </w:rPr>
        <w:t>的非正常专利申请由专利代理机构代理，浪费国家专利审查资源，挤占正常专利的申请审查机会和效率，严重影响我国高水平创新获得知识产权保护。为了助力高水平创新成果转化为优质专利申请，国家知识产权局指导中华全国专利代理师协会遴选一批社会信用好、业务水平高、履行行业自律责任到位的专利代理机构，形成了“专利代理机构精准服务保障名单”，从已经提交申请的代理机构中，</w:t>
      </w:r>
      <w:r>
        <w:rPr>
          <w:rFonts w:hint="eastAsia" w:ascii="方正黑体_GBK" w:hAnsi="方正黑体_GBK" w:eastAsia="方正黑体_GBK" w:cs="方正黑体_GBK"/>
          <w:b/>
        </w:rPr>
        <w:t>剔除了代理非正常专利申请数量多、专利代理质量低、知识产权信用不好的代理机构</w:t>
      </w:r>
      <w:r>
        <w:rPr>
          <w:rFonts w:hint="eastAsia" w:ascii="宋体" w:hAnsi="宋体"/>
          <w:b/>
        </w:rPr>
        <w:t>。按照国家知识产权局“匹配优质专利代理机构提供高水平服务”的要求，办法明确保护中心不再接收专利代理机构精准服务保障名单之外的代理机构提交的专利申请预审案件。省知识产权局和全省各知识产权保护中心，也将积极引导推动优质代理机构申请纳入代理机构精准服务保障名单，进一步扩大名单覆盖范围。</w:t>
      </w:r>
    </w:p>
    <w:p w14:paraId="727860A9">
      <w:pPr>
        <w:spacing w:line="590" w:lineRule="exact"/>
        <w:rPr>
          <w:rFonts w:ascii="宋体" w:hAnsi="宋体"/>
          <w:b/>
        </w:rPr>
      </w:pPr>
      <w:r>
        <w:rPr>
          <w:rFonts w:hint="eastAsia" w:ascii="方正楷体_GBK" w:hAnsi="方正楷体_GBK" w:eastAsia="方正楷体_GBK"/>
          <w:b/>
        </w:rPr>
        <w:t>（二）关于探索实施跨区域专利预审。</w:t>
      </w:r>
      <w:r>
        <w:rPr>
          <w:rFonts w:hint="eastAsia" w:ascii="宋体" w:hAnsi="宋体"/>
          <w:b/>
        </w:rPr>
        <w:t>近年来，江苏积极打造“1</w:t>
      </w:r>
      <w:r>
        <w:rPr>
          <w:rFonts w:ascii="宋体" w:hAnsi="宋体"/>
          <w:b/>
        </w:rPr>
        <w:t>+13+</w:t>
      </w:r>
      <w:r>
        <w:rPr>
          <w:rFonts w:hint="eastAsia" w:ascii="宋体" w:hAnsi="宋体"/>
          <w:b/>
        </w:rPr>
        <w:t>N”的知识产权快速协同保护体系，截至目前，全省拥有国家级知识产权保护中心9家，涉及产业技术领域1</w:t>
      </w:r>
      <w:r>
        <w:rPr>
          <w:rFonts w:ascii="宋体" w:hAnsi="宋体"/>
          <w:b/>
        </w:rPr>
        <w:t>7</w:t>
      </w:r>
      <w:r>
        <w:rPr>
          <w:rFonts w:hint="eastAsia" w:ascii="宋体" w:hAnsi="宋体"/>
          <w:b/>
        </w:rPr>
        <w:t>个，基本覆盖“1</w:t>
      </w:r>
      <w:r>
        <w:rPr>
          <w:rFonts w:ascii="宋体" w:hAnsi="宋体"/>
          <w:b/>
        </w:rPr>
        <w:t>650</w:t>
      </w:r>
      <w:r>
        <w:rPr>
          <w:rFonts w:hint="eastAsia" w:ascii="宋体" w:hAnsi="宋体"/>
          <w:b/>
        </w:rPr>
        <w:t>”产业体系，为江苏打造产业科技创新策源地发挥了重要作用。为贯彻落实国家知识产权局关于“加强专利预审资源配置、提高预审质量、更好更高效服务创新”的决策部署，充分发挥国家级知识产权保护中心支撑产业创新、促进经济高质量发展的积极作用，加强专利预审资源跨区域统筹协调，办法提出省内保护中心，对国家实验室、全国重点实验室、国家重大战略科技力量、省级战略科技力量等列入国家级知识产权保护中心精准服务备案主体，提交的不属于国家知识产权局批复本中心预审服务产业领域的预审案件，可交由江苏省保护中心进行调度，由江苏省保护中心提出分配建议，报国家知识产权局批准后，由省内其他保护中心提供跨区域专利预审服务，以更好满足推进高水平科技自立自强和产业自主可控的需求。</w:t>
      </w:r>
    </w:p>
    <w:p w14:paraId="0D25A18B"/>
    <w:sectPr>
      <w:footerReference r:id="rId5" w:type="default"/>
      <w:footerReference r:id="rId6" w:type="even"/>
      <w:pgSz w:w="11906" w:h="16838"/>
      <w:pgMar w:top="1985" w:right="1474" w:bottom="2098" w:left="1531" w:header="720" w:footer="1474" w:gutter="0"/>
      <w:paperSrc w:first="15" w:other="15"/>
      <w:pgNumType w:start="1"/>
      <w:cols w:space="720" w:num="1"/>
      <w:docGrid w:type="linesAndChars" w:linePitch="595" w:charSpace="-81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script"/>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E07A3C">
    <w:pPr>
      <w:pStyle w:val="2"/>
      <w:wordWrap w:val="0"/>
      <w:jc w:val="right"/>
    </w:pPr>
    <w:r>
      <w:rPr>
        <w:rFonts w:hint="eastAsia"/>
      </w:rPr>
      <w:t xml:space="preserve">— </w:t>
    </w:r>
    <w:r>
      <w:rPr>
        <w:rStyle w:val="5"/>
        <w:rFonts w:ascii="宋体" w:hAnsi="宋体" w:eastAsia="宋体"/>
      </w:rPr>
      <w:fldChar w:fldCharType="begin"/>
    </w:r>
    <w:r>
      <w:rPr>
        <w:rStyle w:val="5"/>
        <w:rFonts w:ascii="宋体" w:hAnsi="宋体" w:eastAsia="宋体"/>
      </w:rPr>
      <w:instrText xml:space="preserve"> PAGE </w:instrText>
    </w:r>
    <w:r>
      <w:rPr>
        <w:rStyle w:val="5"/>
        <w:rFonts w:ascii="宋体" w:hAnsi="宋体" w:eastAsia="宋体"/>
      </w:rPr>
      <w:fldChar w:fldCharType="separate"/>
    </w:r>
    <w:r>
      <w:rPr>
        <w:rStyle w:val="5"/>
        <w:rFonts w:ascii="宋体" w:hAnsi="宋体" w:eastAsia="宋体"/>
      </w:rPr>
      <w:t>1</w:t>
    </w:r>
    <w:r>
      <w:rPr>
        <w:rStyle w:val="5"/>
        <w:rFonts w:ascii="宋体" w:hAnsi="宋体" w:eastAsia="宋体"/>
      </w:rPr>
      <w:fldChar w:fldCharType="end"/>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9E05F7">
    <w:pPr>
      <w:pStyle w:val="2"/>
      <w:ind w:firstLine="280" w:firstLineChars="100"/>
      <w:jc w:val="left"/>
    </w:pPr>
    <w:r>
      <w:rPr>
        <w:rFonts w:hint="eastAsia"/>
      </w:rPr>
      <w:t xml:space="preserve">— </w:t>
    </w:r>
    <w:r>
      <w:rPr>
        <w:rStyle w:val="5"/>
        <w:rFonts w:ascii="宋体" w:hAnsi="宋体" w:eastAsia="宋体"/>
      </w:rPr>
      <w:fldChar w:fldCharType="begin"/>
    </w:r>
    <w:r>
      <w:rPr>
        <w:rStyle w:val="5"/>
        <w:rFonts w:ascii="宋体" w:hAnsi="宋体" w:eastAsia="宋体"/>
      </w:rPr>
      <w:instrText xml:space="preserve"> PAGE </w:instrText>
    </w:r>
    <w:r>
      <w:rPr>
        <w:rStyle w:val="5"/>
        <w:rFonts w:ascii="宋体" w:hAnsi="宋体" w:eastAsia="宋体"/>
      </w:rPr>
      <w:fldChar w:fldCharType="separate"/>
    </w:r>
    <w:r>
      <w:rPr>
        <w:rStyle w:val="5"/>
        <w:rFonts w:ascii="宋体" w:hAnsi="宋体" w:eastAsia="宋体"/>
      </w:rPr>
      <w:t>4</w:t>
    </w:r>
    <w:r>
      <w:rPr>
        <w:rStyle w:val="5"/>
        <w:rFonts w:ascii="宋体" w:hAnsi="宋体" w:eastAsia="宋体"/>
      </w:rPr>
      <w:fldChar w:fldCharType="end"/>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4"/>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57E0A"/>
    <w:rsid w:val="00366CCE"/>
    <w:rsid w:val="003A2D67"/>
    <w:rsid w:val="00925055"/>
    <w:rsid w:val="00E57E0A"/>
    <w:rsid w:val="7B937F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kern w:val="0"/>
      <w:sz w:val="32"/>
      <w:szCs w:val="20"/>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0"/>
    <w:pPr>
      <w:tabs>
        <w:tab w:val="center" w:pos="4153"/>
        <w:tab w:val="right" w:pos="8306"/>
      </w:tabs>
      <w:spacing w:line="400" w:lineRule="atLeast"/>
      <w:ind w:firstLine="0"/>
      <w:jc w:val="center"/>
    </w:pPr>
    <w:rPr>
      <w:sz w:val="28"/>
    </w:rPr>
  </w:style>
  <w:style w:type="character" w:styleId="5">
    <w:name w:val="page number"/>
    <w:basedOn w:val="4"/>
    <w:qFormat/>
    <w:uiPriority w:val="0"/>
  </w:style>
  <w:style w:type="character" w:customStyle="1" w:styleId="6">
    <w:name w:val="页脚 Char"/>
    <w:basedOn w:val="4"/>
    <w:link w:val="2"/>
    <w:qFormat/>
    <w:uiPriority w:val="0"/>
    <w:rPr>
      <w:rFonts w:ascii="Times New Roman" w:hAnsi="Times New Roman" w:eastAsia="方正仿宋_GBK" w:cs="Times New Roman"/>
      <w:snapToGrid w:val="0"/>
      <w:kern w:val="0"/>
      <w:sz w:val="28"/>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Win</Company>
  <Pages>4</Pages>
  <Words>2042</Words>
  <Characters>2061</Characters>
  <Lines>14</Lines>
  <Paragraphs>4</Paragraphs>
  <TotalTime>0</TotalTime>
  <ScaleCrop>false</ScaleCrop>
  <LinksUpToDate>false</LinksUpToDate>
  <CharactersWithSpaces>2061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2025-09-02T06:49:00Z</dcterms:created>
  <dc:creator>NTKO</dc:creator>
  <cp:lastModifiedBy>Administrator</cp:lastModifiedBy>
  <dcterms:modified xsi:type="dcterms:W3CDTF">2026-06-15T02:13:04Z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eyJoZGlkIjoiYzY0MmY5ZGU2YzAwMjM5ZmIzY2U0Zjk5Y2M5NWFkODEifQ==</vt:lpwstr>
  </property>
  <property fmtid="{D5CDD505-2E9C-101B-9397-08002B2CF9AE}" pid="3" name="KSOProductBuildVer">
    <vt:lpwstr>2052-12.1.0.19302</vt:lpwstr>
  </property>
  <property fmtid="{D5CDD505-2E9C-101B-9397-08002B2CF9AE}" pid="4" name="ICV">
    <vt:lpwstr>FE9CDFB239B749909912AA53B8D4B97D_12</vt:lpwstr>
  </property>
</Properties>
</file>