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48B3" w:rsidRPr="001A0C3D" w:rsidRDefault="00E04238">
      <w:pPr>
        <w:rPr>
          <w:rFonts w:ascii="黑体" w:eastAsia="黑体" w:hAnsi="黑体"/>
          <w:sz w:val="32"/>
          <w:szCs w:val="32"/>
        </w:rPr>
      </w:pPr>
      <w:r w:rsidRPr="001A0C3D">
        <w:rPr>
          <w:rFonts w:ascii="黑体" w:eastAsia="黑体" w:hAnsi="黑体"/>
          <w:sz w:val="32"/>
          <w:szCs w:val="32"/>
        </w:rPr>
        <w:t>附件</w:t>
      </w:r>
    </w:p>
    <w:p w:rsidR="003C48B3" w:rsidRDefault="00E04238" w:rsidP="00577782">
      <w:pPr>
        <w:spacing w:afterLines="100" w:line="660" w:lineRule="exact"/>
        <w:jc w:val="center"/>
        <w:rPr>
          <w:rFonts w:ascii="Times New Roman" w:eastAsia="方正小标宋简体"/>
          <w:sz w:val="44"/>
          <w:szCs w:val="44"/>
        </w:rPr>
      </w:pPr>
      <w:r>
        <w:rPr>
          <w:rFonts w:ascii="Times New Roman" w:eastAsia="方正小标宋简体" w:hint="eastAsia"/>
          <w:sz w:val="44"/>
          <w:szCs w:val="44"/>
        </w:rPr>
        <w:t>2025</w:t>
      </w:r>
      <w:r>
        <w:rPr>
          <w:rFonts w:ascii="Times New Roman" w:eastAsia="方正小标宋简体" w:hint="eastAsia"/>
          <w:sz w:val="44"/>
          <w:szCs w:val="44"/>
        </w:rPr>
        <w:t>年</w:t>
      </w:r>
      <w:r w:rsidR="00565048">
        <w:rPr>
          <w:rFonts w:ascii="Times New Roman" w:eastAsia="方正小标宋简体" w:hint="eastAsia"/>
          <w:sz w:val="44"/>
          <w:szCs w:val="44"/>
        </w:rPr>
        <w:t>第一批</w:t>
      </w:r>
      <w:r>
        <w:rPr>
          <w:rFonts w:ascii="Times New Roman" w:eastAsia="方正小标宋简体"/>
          <w:sz w:val="44"/>
          <w:szCs w:val="44"/>
        </w:rPr>
        <w:t>专利</w:t>
      </w:r>
      <w:r w:rsidR="00442BB6">
        <w:rPr>
          <w:rFonts w:ascii="Times New Roman" w:eastAsia="方正小标宋简体" w:hint="eastAsia"/>
          <w:sz w:val="44"/>
          <w:szCs w:val="44"/>
        </w:rPr>
        <w:t>转化运用</w:t>
      </w:r>
      <w:r>
        <w:rPr>
          <w:rFonts w:ascii="Times New Roman" w:eastAsia="方正小标宋简体"/>
          <w:sz w:val="44"/>
          <w:szCs w:val="44"/>
        </w:rPr>
        <w:t>优秀案例</w:t>
      </w: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20"/>
        <w:gridCol w:w="3199"/>
        <w:gridCol w:w="9781"/>
      </w:tblGrid>
      <w:tr w:rsidR="003C48B3">
        <w:trPr>
          <w:cantSplit/>
          <w:trHeight w:val="583"/>
          <w:tblHeader/>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Times New Roman" w:eastAsia="黑体"/>
                <w:color w:val="000000"/>
                <w:sz w:val="28"/>
                <w:szCs w:val="28"/>
              </w:rPr>
            </w:pPr>
            <w:r>
              <w:rPr>
                <w:rFonts w:ascii="Times New Roman" w:eastAsia="黑体"/>
                <w:color w:val="000000"/>
                <w:sz w:val="28"/>
                <w:szCs w:val="28"/>
              </w:rPr>
              <w:t>编号</w:t>
            </w:r>
          </w:p>
        </w:tc>
        <w:tc>
          <w:tcPr>
            <w:tcW w:w="3199"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Times New Roman" w:eastAsia="黑体"/>
                <w:color w:val="000000"/>
                <w:sz w:val="28"/>
                <w:szCs w:val="28"/>
              </w:rPr>
            </w:pPr>
            <w:r>
              <w:rPr>
                <w:rFonts w:ascii="Times New Roman" w:eastAsia="黑体"/>
                <w:color w:val="000000"/>
                <w:sz w:val="28"/>
                <w:szCs w:val="28"/>
              </w:rPr>
              <w:t>案例名称</w:t>
            </w:r>
          </w:p>
        </w:tc>
        <w:tc>
          <w:tcPr>
            <w:tcW w:w="9781"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Times New Roman" w:eastAsia="黑体"/>
                <w:color w:val="000000"/>
                <w:sz w:val="28"/>
                <w:szCs w:val="28"/>
              </w:rPr>
            </w:pPr>
            <w:r>
              <w:rPr>
                <w:rFonts w:ascii="Times New Roman" w:eastAsia="黑体"/>
                <w:color w:val="000000"/>
                <w:sz w:val="28"/>
                <w:szCs w:val="28"/>
              </w:rPr>
              <w:t>案例摘要</w:t>
            </w:r>
          </w:p>
        </w:tc>
      </w:tr>
      <w:tr w:rsidR="003C48B3">
        <w:trPr>
          <w:cantSplit/>
          <w:trHeight w:val="2515"/>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color w:val="000000"/>
                <w:sz w:val="28"/>
                <w:szCs w:val="28"/>
              </w:rPr>
            </w:pPr>
            <w:r>
              <w:rPr>
                <w:rFonts w:ascii="仿宋" w:eastAsia="仿宋" w:hAnsi="仿宋"/>
                <w:color w:val="000000"/>
                <w:sz w:val="28"/>
                <w:szCs w:val="28"/>
              </w:rPr>
              <w:t>1</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spacing w:line="440" w:lineRule="exact"/>
              <w:rPr>
                <w:rFonts w:ascii="宋体" w:hAnsi="宋体" w:cs="宋体"/>
                <w:color w:val="000000"/>
                <w:sz w:val="28"/>
                <w:szCs w:val="28"/>
              </w:rPr>
            </w:pPr>
            <w:r>
              <w:rPr>
                <w:rFonts w:ascii="仿宋" w:eastAsia="仿宋" w:hAnsi="仿宋" w:hint="eastAsia"/>
                <w:color w:val="000000"/>
                <w:sz w:val="28"/>
                <w:szCs w:val="28"/>
              </w:rPr>
              <w:t>高价值专利族</w:t>
            </w:r>
            <w:r w:rsidR="007D30F5">
              <w:rPr>
                <w:rFonts w:ascii="仿宋" w:eastAsia="仿宋" w:hAnsi="仿宋" w:hint="eastAsia"/>
                <w:color w:val="000000"/>
                <w:sz w:val="28"/>
                <w:szCs w:val="28"/>
              </w:rPr>
              <w:t>协同</w:t>
            </w:r>
            <w:r>
              <w:rPr>
                <w:rFonts w:ascii="仿宋" w:eastAsia="仿宋" w:hAnsi="仿宋" w:hint="eastAsia"/>
                <w:color w:val="000000"/>
                <w:sz w:val="28"/>
                <w:szCs w:val="28"/>
              </w:rPr>
              <w:t>式转化，助力柔性直流技术突破创新</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spacing w:line="440" w:lineRule="exact"/>
              <w:ind w:firstLine="560"/>
              <w:rPr>
                <w:rFonts w:ascii="仿宋" w:eastAsia="仿宋" w:hAnsi="仿宋"/>
                <w:color w:val="000000"/>
                <w:sz w:val="28"/>
                <w:szCs w:val="28"/>
              </w:rPr>
            </w:pPr>
            <w:r>
              <w:rPr>
                <w:rFonts w:ascii="仿宋" w:eastAsia="仿宋" w:hAnsi="仿宋" w:hint="eastAsia"/>
                <w:color w:val="000000"/>
                <w:sz w:val="28"/>
                <w:szCs w:val="28"/>
              </w:rPr>
              <w:t>中国电力科学研究院有限公司针对柔性直流输电技术布局覆盖全流程的专利族，通过深化与集团内单位的产研融合、核心专利许可的方式，推动千兆瓦级柔性直流换流器研发，采用“核心技术分解+模块化授权”</w:t>
            </w:r>
            <w:bookmarkStart w:id="0" w:name="_GoBack"/>
            <w:bookmarkEnd w:id="0"/>
            <w:r>
              <w:rPr>
                <w:rFonts w:ascii="仿宋" w:eastAsia="仿宋" w:hAnsi="仿宋" w:hint="eastAsia"/>
                <w:color w:val="000000"/>
                <w:sz w:val="28"/>
                <w:szCs w:val="28"/>
              </w:rPr>
              <w:t>的转化模式向配套制造企业定向转化，形成了“龙头企业牵引+专精特新配套”的产业协同网络，带动上下游产业升级，</w:t>
            </w:r>
            <w:r w:rsidR="00577782">
              <w:rPr>
                <w:rFonts w:ascii="仿宋" w:eastAsia="仿宋" w:hAnsi="仿宋" w:hint="eastAsia"/>
                <w:color w:val="000000"/>
                <w:sz w:val="28"/>
                <w:szCs w:val="28"/>
              </w:rPr>
              <w:t>推动</w:t>
            </w:r>
            <w:r>
              <w:rPr>
                <w:rFonts w:ascii="仿宋" w:eastAsia="仿宋" w:hAnsi="仿宋" w:hint="eastAsia"/>
                <w:color w:val="000000"/>
                <w:sz w:val="28"/>
                <w:szCs w:val="28"/>
              </w:rPr>
              <w:t>培育千亿级高端电力装备产业集群。</w:t>
            </w:r>
          </w:p>
        </w:tc>
      </w:tr>
      <w:tr w:rsidR="003C48B3">
        <w:trPr>
          <w:cantSplit/>
          <w:trHeight w:val="2962"/>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color w:val="000000"/>
                <w:sz w:val="28"/>
                <w:szCs w:val="28"/>
              </w:rPr>
              <w:t>2</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专利许可转让推动航天粉煤加压气化专利转化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rsidP="007D30F5">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航天长征化学工程股份有限公司在“航天粉煤加压气化专利技术”转化过程中，充分发挥制度激励作用，通过制定技术成果转化奖励办法，有效调动了各方参与专利转化工作的积极性，针对性开发出不同规模的许可专利包，促进了专利转化运用效率整体提升，推动建立了可持续发展的良性循环，已投产的气化装置持续保持长周期、安全、稳定运行。</w:t>
            </w:r>
          </w:p>
        </w:tc>
      </w:tr>
      <w:tr w:rsidR="003C48B3">
        <w:trPr>
          <w:cantSplit/>
          <w:trHeight w:val="2369"/>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color w:val="000000"/>
                <w:sz w:val="28"/>
                <w:szCs w:val="28"/>
              </w:rPr>
              <w:lastRenderedPageBreak/>
              <w:t>3</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知识产权全链条管理，推动充电桩智能功率调配系统专利技术产业化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rsidP="007D30F5">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某</w:t>
            </w:r>
            <w:r w:rsidR="009959E5">
              <w:rPr>
                <w:rFonts w:ascii="仿宋" w:eastAsia="仿宋" w:hAnsi="仿宋" w:hint="eastAsia"/>
                <w:color w:val="000000"/>
                <w:sz w:val="28"/>
                <w:szCs w:val="28"/>
              </w:rPr>
              <w:t>研究院</w:t>
            </w:r>
            <w:r>
              <w:rPr>
                <w:rFonts w:ascii="仿宋" w:eastAsia="仿宋" w:hAnsi="仿宋" w:hint="eastAsia"/>
                <w:color w:val="000000"/>
                <w:sz w:val="28"/>
                <w:szCs w:val="28"/>
              </w:rPr>
              <w:t>积极探索实践“专利检索-市场价值评估-样机研制-联合审查-两报两批”的专利转化全链条流程，采用“评估基准+动态调整”市场化定价机制和“基础费用200万元+营业额3%提成”的转让收益机制，推动将“充电桩智能功率调配系统及方法”等2项发明专利技术转化为产品，为解决充电基础设施高效率、大规模建设问题提供了助力。</w:t>
            </w:r>
          </w:p>
        </w:tc>
      </w:tr>
      <w:tr w:rsidR="003C48B3">
        <w:trPr>
          <w:cantSplit/>
          <w:trHeight w:val="2419"/>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color w:val="000000"/>
                <w:sz w:val="28"/>
                <w:szCs w:val="28"/>
              </w:rPr>
              <w:t>4</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产教深度融合推动低氮燃烧专利技术产业化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河北科技工程职业技术大学联合河北伊克赛吉科技有限公司，通过共建研发中心，构建互聘机制，搭建中试基地及布局专利矩阵，打造“对接‘零距离’、产教‘深融合’、转化‘零障碍’”的专利产业化生态体系，有效攻克我国锅炉低氮排放领域“卡脖子”技术难题，实现了低氮燃烧器产品国产替代和绿色减排双突破。</w:t>
            </w:r>
          </w:p>
        </w:tc>
      </w:tr>
      <w:tr w:rsidR="003C48B3">
        <w:trPr>
          <w:cantSplit/>
          <w:trHeight w:val="2806"/>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color w:val="000000"/>
                <w:sz w:val="28"/>
                <w:szCs w:val="28"/>
              </w:rPr>
              <w:t>5</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构建高价值专利</w:t>
            </w:r>
            <w:r w:rsidR="007D30F5">
              <w:rPr>
                <w:rFonts w:ascii="仿宋" w:eastAsia="仿宋" w:hAnsi="仿宋" w:hint="eastAsia"/>
                <w:color w:val="000000"/>
                <w:sz w:val="28"/>
                <w:szCs w:val="28"/>
              </w:rPr>
              <w:t>培育体系</w:t>
            </w:r>
            <w:r>
              <w:rPr>
                <w:rFonts w:ascii="仿宋" w:eastAsia="仿宋" w:hAnsi="仿宋" w:hint="eastAsia"/>
                <w:color w:val="000000"/>
                <w:sz w:val="28"/>
                <w:szCs w:val="28"/>
              </w:rPr>
              <w:t>结合多元化专利运营模式,助力益生菌产业强链增效</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内蒙古伊利实业集团股份有限公司</w:t>
            </w:r>
            <w:r w:rsidR="003C48B3" w:rsidRPr="003C48B3">
              <w:rPr>
                <w:rFonts w:ascii="仿宋" w:eastAsia="仿宋" w:hAnsi="仿宋" w:hint="eastAsia"/>
                <w:color w:val="000000"/>
                <w:sz w:val="28"/>
                <w:szCs w:val="28"/>
              </w:rPr>
              <w:t>通过</w:t>
            </w:r>
            <w:r>
              <w:rPr>
                <w:rFonts w:ascii="仿宋" w:eastAsia="仿宋" w:hAnsi="仿宋" w:hint="eastAsia"/>
                <w:color w:val="000000"/>
                <w:sz w:val="28"/>
                <w:szCs w:val="28"/>
              </w:rPr>
              <w:t>构建“</w:t>
            </w:r>
            <w:r w:rsidR="003C48B3" w:rsidRPr="003C48B3">
              <w:rPr>
                <w:rFonts w:ascii="仿宋" w:eastAsia="仿宋" w:hAnsi="仿宋" w:hint="eastAsia"/>
                <w:color w:val="000000"/>
                <w:sz w:val="28"/>
                <w:szCs w:val="28"/>
              </w:rPr>
              <w:t>专利保护模型+布局规划+申请评估+策略创新</w:t>
            </w:r>
            <w:r>
              <w:rPr>
                <w:rFonts w:ascii="仿宋" w:eastAsia="仿宋" w:hAnsi="仿宋" w:hint="eastAsia"/>
                <w:color w:val="000000"/>
                <w:sz w:val="28"/>
                <w:szCs w:val="28"/>
              </w:rPr>
              <w:t>”</w:t>
            </w:r>
            <w:r w:rsidR="003C48B3" w:rsidRPr="003C48B3">
              <w:rPr>
                <w:rFonts w:ascii="仿宋" w:eastAsia="仿宋" w:hAnsi="仿宋" w:hint="eastAsia"/>
                <w:color w:val="000000"/>
                <w:sz w:val="28"/>
                <w:szCs w:val="28"/>
              </w:rPr>
              <w:t>高价值专利培育体系，</w:t>
            </w:r>
            <w:r>
              <w:rPr>
                <w:rFonts w:ascii="仿宋" w:eastAsia="仿宋" w:hAnsi="仿宋" w:hint="eastAsia"/>
                <w:color w:val="000000"/>
                <w:sz w:val="28"/>
                <w:szCs w:val="28"/>
              </w:rPr>
              <w:t>打造益生菌专利竞争优势，突破了国外技术垄断，并</w:t>
            </w:r>
            <w:r w:rsidR="003C48B3" w:rsidRPr="003C48B3">
              <w:rPr>
                <w:rFonts w:ascii="仿宋" w:eastAsia="仿宋" w:hAnsi="仿宋" w:hint="eastAsia"/>
                <w:color w:val="000000"/>
                <w:sz w:val="28"/>
                <w:szCs w:val="28"/>
              </w:rPr>
              <w:t>通过成果路演、定向研发加速技术产业化，形成了“研发-转化-推广-实施”的高效闭环，</w:t>
            </w:r>
            <w:r>
              <w:rPr>
                <w:rFonts w:ascii="仿宋" w:eastAsia="仿宋" w:hAnsi="仿宋" w:hint="eastAsia"/>
                <w:color w:val="000000"/>
                <w:sz w:val="28"/>
                <w:szCs w:val="28"/>
              </w:rPr>
              <w:t>依托</w:t>
            </w:r>
            <w:r w:rsidR="003C48B3" w:rsidRPr="003C48B3">
              <w:rPr>
                <w:rFonts w:ascii="仿宋" w:eastAsia="仿宋" w:hAnsi="仿宋" w:hint="eastAsia"/>
                <w:color w:val="000000"/>
                <w:sz w:val="28"/>
                <w:szCs w:val="28"/>
              </w:rPr>
              <w:t>“自主实施+技术输出”的双轮驱动模式，实现从“生产经营方”向“技术输出方”的转变，推动</w:t>
            </w:r>
            <w:r>
              <w:rPr>
                <w:rFonts w:ascii="仿宋" w:eastAsia="仿宋" w:hAnsi="仿宋" w:hint="eastAsia"/>
                <w:color w:val="000000"/>
                <w:sz w:val="28"/>
                <w:szCs w:val="28"/>
              </w:rPr>
              <w:t>了</w:t>
            </w:r>
            <w:r w:rsidR="003C48B3" w:rsidRPr="003C48B3">
              <w:rPr>
                <w:rFonts w:ascii="仿宋" w:eastAsia="仿宋" w:hAnsi="仿宋" w:hint="eastAsia"/>
                <w:color w:val="000000"/>
                <w:sz w:val="28"/>
                <w:szCs w:val="28"/>
              </w:rPr>
              <w:t>产业链协同发展。</w:t>
            </w:r>
          </w:p>
        </w:tc>
      </w:tr>
      <w:tr w:rsidR="003C48B3">
        <w:trPr>
          <w:cantSplit/>
          <w:trHeight w:val="2511"/>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color w:val="000000"/>
                <w:sz w:val="28"/>
                <w:szCs w:val="28"/>
              </w:rPr>
              <w:lastRenderedPageBreak/>
              <w:t>6</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正照式CMOS图像传感器制造专利技术产业化解决卡脖子问题</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rsidP="007D30F5">
            <w:pPr>
              <w:spacing w:line="440" w:lineRule="exact"/>
              <w:ind w:firstLineChars="200" w:firstLine="560"/>
              <w:rPr>
                <w:rFonts w:ascii="仿宋" w:eastAsia="仿宋" w:hAnsi="仿宋"/>
                <w:color w:val="000000"/>
                <w:sz w:val="28"/>
                <w:szCs w:val="28"/>
              </w:rPr>
            </w:pPr>
            <w:r>
              <w:rPr>
                <w:rFonts w:ascii="仿宋" w:eastAsia="仿宋" w:hAnsi="仿宋" w:hint="eastAsia"/>
                <w:color w:val="000000"/>
                <w:sz w:val="28"/>
                <w:szCs w:val="28"/>
              </w:rPr>
              <w:t>中国科学院长春光学精密机械与物理研究所以专利作价入股，联合国有投资平台及产业链企业成立合资公司，通过“技术+资本+政策”的产学研协同模式，推进正照式CMOS图像传感器专利技术产业化，打造年产2万片的生产线，解决了高端CMOS图像传感器依赖进口的“卡脖子”问题，实现了国产替代，填补国内空白。</w:t>
            </w:r>
          </w:p>
        </w:tc>
      </w:tr>
      <w:tr w:rsidR="003C48B3">
        <w:trPr>
          <w:cantSplit/>
          <w:trHeight w:val="3397"/>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color w:val="000000"/>
                <w:sz w:val="28"/>
                <w:szCs w:val="28"/>
              </w:rPr>
              <w:t>7</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创新收益分配模式，推动生物序列类专利技术转化项目落地</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中国科学院脑科学与智能技术卓越创新中心针对生物序列类</w:t>
            </w:r>
            <w:r w:rsidR="007D30F5">
              <w:rPr>
                <w:rFonts w:ascii="仿宋" w:eastAsia="仿宋" w:hAnsi="仿宋" w:hint="eastAsia"/>
                <w:color w:val="000000"/>
                <w:sz w:val="28"/>
                <w:szCs w:val="28"/>
              </w:rPr>
              <w:t>专利技术</w:t>
            </w:r>
            <w:r>
              <w:rPr>
                <w:rFonts w:ascii="仿宋" w:eastAsia="仿宋" w:hAnsi="仿宋" w:hint="eastAsia"/>
                <w:color w:val="000000"/>
                <w:sz w:val="28"/>
                <w:szCs w:val="28"/>
              </w:rPr>
              <w:t>面临的“保护难、转化难、收益难”问题，突破传统“里程碑+销售提成”模式，通过协议约定成果范围的方式，解决了专利保护范围受限问题，并通过合并药物管线付款义务、设置销售提成变现等举措，保障了研究所、产业公司等多方的利益平衡。中心已孵化多家生物医药产业公司，推动多条药物管线的落地，累计</w:t>
            </w:r>
            <w:r w:rsidR="00FE42CA">
              <w:rPr>
                <w:rFonts w:ascii="仿宋" w:eastAsia="仿宋" w:hAnsi="仿宋" w:hint="eastAsia"/>
                <w:color w:val="000000"/>
                <w:sz w:val="28"/>
                <w:szCs w:val="28"/>
              </w:rPr>
              <w:t>获得</w:t>
            </w:r>
            <w:r>
              <w:rPr>
                <w:rFonts w:ascii="仿宋" w:eastAsia="仿宋" w:hAnsi="仿宋" w:hint="eastAsia"/>
                <w:color w:val="000000"/>
                <w:sz w:val="28"/>
                <w:szCs w:val="28"/>
              </w:rPr>
              <w:t>科创投资超十亿元。</w:t>
            </w:r>
          </w:p>
        </w:tc>
      </w:tr>
      <w:tr w:rsidR="003C48B3">
        <w:trPr>
          <w:cantSplit/>
          <w:trHeight w:val="2138"/>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color w:val="000000"/>
                <w:sz w:val="28"/>
                <w:szCs w:val="28"/>
              </w:rPr>
              <w:lastRenderedPageBreak/>
              <w:t>8</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重大科研项目知识产权全过程管理，推动超高分辨率光矢量分析专利技术产业化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南京航空航天大学围绕“超高分辨率光矢量分析技术”科研项目，组织实施重大科研项目知识产权全过程管理，通过开展结合产业方向布局高质量专利群、与行业领军企业共建市场信息快速传递、技术优势高度互补、人才资源充分互通的产学研长效机制、孵化成立产业化创业企业以及与知名国际企业战略合作进行产品海外推广等工作，有效促进了科技研发与产业应用良性互动，改变了我国在产业基础设备上受制于人的局面。</w:t>
            </w:r>
          </w:p>
        </w:tc>
      </w:tr>
      <w:tr w:rsidR="003C48B3">
        <w:trPr>
          <w:cantSplit/>
          <w:trHeight w:val="830"/>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color w:val="000000"/>
                <w:sz w:val="28"/>
                <w:szCs w:val="28"/>
              </w:rPr>
              <w:t>9</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培优育强潜水电泵高价值专利，“泵”发产业新动能</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浙江东音科技有限公司在潜水泵专利技术产业化过程中，探索形成“数据导航-生态协同-金融赋能-标准护航”四维协同模式，通过建立专利价值动态评估机制，运用“专利鹊桥”智能系统进行技术供需精准匹配，实现了知识产权服务与企业技术创新、产业升级的无缝对接与紧密融合，为传统制造业专利产业化提供了范例。</w:t>
            </w:r>
          </w:p>
        </w:tc>
      </w:tr>
      <w:tr w:rsidR="003C48B3">
        <w:trPr>
          <w:cantSplit/>
          <w:trHeight w:val="2203"/>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color w:val="000000"/>
                <w:sz w:val="28"/>
                <w:szCs w:val="28"/>
              </w:rPr>
              <w:t>10</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rsidP="008B2712">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培育专利密集型产品，促进</w:t>
            </w:r>
            <w:r w:rsidR="008B2712">
              <w:rPr>
                <w:rFonts w:ascii="仿宋" w:eastAsia="仿宋" w:hAnsi="仿宋" w:hint="eastAsia"/>
                <w:color w:val="000000"/>
                <w:sz w:val="28"/>
                <w:szCs w:val="28"/>
              </w:rPr>
              <w:t>乘用车领域关键</w:t>
            </w:r>
            <w:r>
              <w:rPr>
                <w:rFonts w:ascii="仿宋" w:eastAsia="仿宋" w:hAnsi="仿宋" w:hint="eastAsia"/>
                <w:color w:val="000000"/>
                <w:sz w:val="28"/>
                <w:szCs w:val="28"/>
              </w:rPr>
              <w:t>专利技术产业化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rsidP="008B2712">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奇瑞汽车股份有限公司聚焦</w:t>
            </w:r>
            <w:r w:rsidR="008B2712">
              <w:rPr>
                <w:rFonts w:ascii="仿宋" w:eastAsia="仿宋" w:hAnsi="仿宋" w:hint="eastAsia"/>
                <w:color w:val="000000"/>
                <w:sz w:val="28"/>
                <w:szCs w:val="28"/>
              </w:rPr>
              <w:t>动力电池、智能驾驶关键技术</w:t>
            </w:r>
            <w:r>
              <w:rPr>
                <w:rFonts w:ascii="仿宋" w:eastAsia="仿宋" w:hAnsi="仿宋" w:hint="eastAsia"/>
                <w:color w:val="000000"/>
                <w:sz w:val="28"/>
                <w:szCs w:val="28"/>
              </w:rPr>
              <w:t>，</w:t>
            </w:r>
            <w:r w:rsidR="008B2712">
              <w:rPr>
                <w:rFonts w:ascii="仿宋" w:eastAsia="仿宋" w:hAnsi="仿宋" w:hint="eastAsia"/>
                <w:color w:val="000000"/>
                <w:sz w:val="28"/>
                <w:szCs w:val="28"/>
              </w:rPr>
              <w:t>构建“技术攻关-专利布局-产品开发-市场推广”全链条创新体系，由企业提出市场需求,高校负责基础研究,科研院所开展中试验证，形成“需求链-技术链-产业链”闭环模式，解决了产业链协同不足的问题。通过培育专利密集型产品</w:t>
            </w:r>
            <w:r>
              <w:rPr>
                <w:rFonts w:ascii="仿宋" w:eastAsia="仿宋" w:hAnsi="仿宋" w:hint="eastAsia"/>
                <w:color w:val="000000"/>
                <w:sz w:val="28"/>
                <w:szCs w:val="28"/>
              </w:rPr>
              <w:t>，助力奇瑞海外销量大幅增长</w:t>
            </w:r>
            <w:r w:rsidR="008B2712">
              <w:rPr>
                <w:rFonts w:ascii="仿宋" w:eastAsia="仿宋" w:hAnsi="仿宋" w:hint="eastAsia"/>
                <w:color w:val="000000"/>
                <w:sz w:val="28"/>
                <w:szCs w:val="28"/>
              </w:rPr>
              <w:t>，行业影响力持续提升</w:t>
            </w:r>
            <w:r>
              <w:rPr>
                <w:rFonts w:ascii="仿宋" w:eastAsia="仿宋" w:hAnsi="仿宋" w:hint="eastAsia"/>
                <w:color w:val="000000"/>
                <w:sz w:val="28"/>
                <w:szCs w:val="28"/>
              </w:rPr>
              <w:t>。</w:t>
            </w:r>
          </w:p>
        </w:tc>
      </w:tr>
      <w:tr w:rsidR="003C48B3">
        <w:trPr>
          <w:cantSplit/>
          <w:trHeight w:val="2203"/>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lastRenderedPageBreak/>
              <w:t>11</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量子云码可信溯源专利技术转化，推动防伪技术提升</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rsidP="00B627A3">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闽都创新实验室通过建立以产业需求为导向的“团队引进+项目落地”工作机制，从深圳引进量子云码可信溯源团队，将“量子云码可信溯源关键技术”项目落地福州，并通过规范成果转化与合作开发项目管理、提供专利导航分析、引进风险资本和产业资本等举措，极大激发了研发团队积极性，加速推进了项目产业化</w:t>
            </w:r>
            <w:r w:rsidR="00B627A3">
              <w:rPr>
                <w:rFonts w:ascii="仿宋" w:eastAsia="仿宋" w:hAnsi="仿宋" w:hint="eastAsia"/>
                <w:color w:val="000000"/>
                <w:sz w:val="28"/>
                <w:szCs w:val="28"/>
              </w:rPr>
              <w:t>。</w:t>
            </w:r>
            <w:r>
              <w:rPr>
                <w:rFonts w:ascii="仿宋" w:eastAsia="仿宋" w:hAnsi="仿宋" w:hint="eastAsia"/>
                <w:color w:val="000000"/>
                <w:sz w:val="28"/>
                <w:szCs w:val="28"/>
              </w:rPr>
              <w:t>目前该技术已经广泛应用于食品、药品、化妆品、文化收藏等九大行业以及数百家政府单位及国内外知名企业。</w:t>
            </w:r>
          </w:p>
        </w:tc>
      </w:tr>
      <w:tr w:rsidR="003C48B3">
        <w:trPr>
          <w:cantSplit/>
          <w:trHeight w:val="2203"/>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t>12</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rsidP="0056504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多</w:t>
            </w:r>
            <w:r w:rsidR="00565048">
              <w:rPr>
                <w:rFonts w:ascii="仿宋" w:eastAsia="仿宋" w:hAnsi="仿宋" w:hint="eastAsia"/>
                <w:color w:val="000000"/>
                <w:sz w:val="28"/>
                <w:szCs w:val="28"/>
              </w:rPr>
              <w:t>途径推动</w:t>
            </w:r>
            <w:r>
              <w:rPr>
                <w:rFonts w:ascii="仿宋" w:eastAsia="仿宋" w:hAnsi="仿宋" w:hint="eastAsia"/>
                <w:color w:val="000000"/>
                <w:sz w:val="28"/>
                <w:szCs w:val="28"/>
              </w:rPr>
              <w:t>专利转化</w:t>
            </w:r>
            <w:r w:rsidR="00565048">
              <w:rPr>
                <w:rFonts w:ascii="仿宋" w:eastAsia="仿宋" w:hAnsi="仿宋" w:hint="eastAsia"/>
                <w:color w:val="000000"/>
                <w:sz w:val="28"/>
                <w:szCs w:val="28"/>
              </w:rPr>
              <w:t>运用</w:t>
            </w:r>
            <w:r>
              <w:rPr>
                <w:rFonts w:ascii="仿宋" w:eastAsia="仿宋" w:hAnsi="仿宋" w:hint="eastAsia"/>
                <w:color w:val="000000"/>
                <w:sz w:val="28"/>
                <w:szCs w:val="28"/>
              </w:rPr>
              <w:t>，</w:t>
            </w:r>
            <w:r w:rsidR="00565048">
              <w:rPr>
                <w:rFonts w:ascii="仿宋" w:eastAsia="仿宋" w:hAnsi="仿宋" w:hint="eastAsia"/>
                <w:color w:val="000000"/>
                <w:sz w:val="28"/>
                <w:szCs w:val="28"/>
              </w:rPr>
              <w:t>助力</w:t>
            </w:r>
            <w:r>
              <w:rPr>
                <w:rFonts w:ascii="仿宋" w:eastAsia="仿宋" w:hAnsi="仿宋" w:hint="eastAsia"/>
                <w:color w:val="000000"/>
                <w:sz w:val="28"/>
                <w:szCs w:val="28"/>
              </w:rPr>
              <w:t>打造绿色低碳ESP特色板材制造基地</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rsidP="0056504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日照钢铁控股集团在全无头带钢生产（ESP）专利技术产业化过程中，通过与高校院所开展产学研合作、与上下游企业建立产业专利池、开展产线</w:t>
            </w:r>
            <w:r w:rsidR="007D30F5">
              <w:rPr>
                <w:rFonts w:ascii="仿宋" w:eastAsia="仿宋" w:hAnsi="仿宋" w:hint="eastAsia"/>
                <w:color w:val="000000"/>
                <w:sz w:val="28"/>
                <w:szCs w:val="28"/>
              </w:rPr>
              <w:t>专利标准</w:t>
            </w:r>
            <w:r>
              <w:rPr>
                <w:rFonts w:ascii="仿宋" w:eastAsia="仿宋" w:hAnsi="仿宋" w:hint="eastAsia"/>
                <w:color w:val="000000"/>
                <w:sz w:val="28"/>
                <w:szCs w:val="28"/>
              </w:rPr>
              <w:t>融合试点、推动专利质押融资、搭建专利转化平台等举措，破解工业化生产技术瓶颈和“卡脖子”技术难题，打破国外产品技术壁垒，为炼钢</w:t>
            </w:r>
            <w:r>
              <w:rPr>
                <w:rFonts w:ascii="仿宋" w:eastAsia="仿宋" w:hAnsi="仿宋"/>
                <w:color w:val="000000"/>
                <w:sz w:val="28"/>
                <w:szCs w:val="28"/>
              </w:rPr>
              <w:t>/</w:t>
            </w:r>
            <w:r>
              <w:rPr>
                <w:rFonts w:ascii="仿宋" w:eastAsia="仿宋" w:hAnsi="仿宋" w:hint="eastAsia"/>
                <w:color w:val="000000"/>
                <w:sz w:val="28"/>
                <w:szCs w:val="28"/>
              </w:rPr>
              <w:t>轧钢行业专利产业化提供成功示范，推动钢铁产业向绿色化、高端化、智能化转型。</w:t>
            </w:r>
          </w:p>
        </w:tc>
      </w:tr>
      <w:tr w:rsidR="003C48B3">
        <w:trPr>
          <w:cantSplit/>
          <w:trHeight w:val="2203"/>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t>13</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产研协同创新引领，推动本质安全</w:t>
            </w:r>
            <w:r w:rsidR="00014165">
              <w:rPr>
                <w:rFonts w:ascii="仿宋" w:eastAsia="仿宋" w:hAnsi="仿宋" w:hint="eastAsia"/>
                <w:color w:val="000000"/>
                <w:sz w:val="28"/>
                <w:szCs w:val="28"/>
              </w:rPr>
              <w:t>、</w:t>
            </w:r>
            <w:r>
              <w:rPr>
                <w:rFonts w:ascii="仿宋" w:eastAsia="仿宋" w:hAnsi="仿宋" w:hint="eastAsia"/>
                <w:color w:val="000000"/>
                <w:sz w:val="28"/>
                <w:szCs w:val="28"/>
              </w:rPr>
              <w:t>长寿命固态锂电池专利技术产业化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rsidP="0056504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中国长江三峡集团有限公司聚焦固态电池产业发展方向，通过建立紧密型联合实验室、创新电池结构与工艺设计、构建多层次专利保护网络、探索实践“专利+标准+产业”模式等举措，加速推进了本质安全</w:t>
            </w:r>
            <w:r w:rsidR="00014165">
              <w:rPr>
                <w:rFonts w:ascii="仿宋" w:eastAsia="仿宋" w:hAnsi="仿宋" w:hint="eastAsia"/>
                <w:color w:val="000000"/>
                <w:sz w:val="28"/>
                <w:szCs w:val="28"/>
              </w:rPr>
              <w:t>、</w:t>
            </w:r>
            <w:r>
              <w:rPr>
                <w:rFonts w:ascii="仿宋" w:eastAsia="仿宋" w:hAnsi="仿宋" w:hint="eastAsia"/>
                <w:color w:val="000000"/>
                <w:sz w:val="28"/>
                <w:szCs w:val="28"/>
              </w:rPr>
              <w:t>长寿命固态锂离子电池专利技术的成功研发和产业化，推动了储能产业规模化、商业化发展，为构建以新能源为主体的新型电力系统提供了重要支撑。</w:t>
            </w:r>
          </w:p>
        </w:tc>
      </w:tr>
      <w:tr w:rsidR="003C48B3">
        <w:trPr>
          <w:cantSplit/>
          <w:trHeight w:val="2203"/>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lastRenderedPageBreak/>
              <w:t>14</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产学研用协同创新模式，推动钢管混凝土轨枕专利技术产业化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中铁第四勘察设计院集团有限公司在推进钢管混凝土轨枕技术研发和产业化过程中，采用产学研用协同创新模式，围绕钢管混凝土轨枕“设计-制造-施工”全产业链，开展专利布局、建立技术标准体系、形成适用于各速度等级轨道的专利产品，实现了枕式无砟轨道核心装备国产化，助力了轨道交通从“建造大国”向“建造强国”升级。</w:t>
            </w:r>
          </w:p>
        </w:tc>
      </w:tr>
      <w:tr w:rsidR="003C48B3">
        <w:trPr>
          <w:cantSplit/>
          <w:trHeight w:val="2203"/>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t>15</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建立场景化高价值专利盘活机制，推动微功率超宽带雷达专利技术产业化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中南大学以专利转化为导向，聚焦雷达探测领域“近、小、慢目标探测”行业痛点，从学校存量专利中筛选出19项具有潜在应用价值的专利，围绕产业化实施进行专利分类组合，并以增资入股方式与企业合作转化，在产业化进程中，技术团队还对专利技术进行二次开发，持续培育布局高价值专利，形成了“高价值专利识别、组合、转化、迭代”的全过程盘活机制。</w:t>
            </w:r>
          </w:p>
        </w:tc>
      </w:tr>
      <w:tr w:rsidR="003C48B3">
        <w:trPr>
          <w:cantSplit/>
          <w:trHeight w:val="2317"/>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t>16</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全链条知识产权运营转化机制，加速生物智能制造企业融资与发展</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广州国家实验室围绕自主研发的自动化生物实验室装备技术，运用全链条知识产权保护与运营策略，在国内外布局27件专利，并创新支付方式与转让模式，将专利技术转让给初创企业，同时协调当地政府提供转化服务助力初创企业完成种子轮融资，实现了主动式单细胞测序系统、微流控芯片及全自动细胞培养制备系统等产品及服务的转化落地。</w:t>
            </w:r>
          </w:p>
        </w:tc>
      </w:tr>
      <w:tr w:rsidR="003C48B3">
        <w:trPr>
          <w:cantSplit/>
          <w:trHeight w:val="2936"/>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lastRenderedPageBreak/>
              <w:t>17</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“三链聚合”模式助力纳米时栅专利技术产业化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MS Mincho" w:eastAsia="MS Mincho" w:hAnsi="MS Mincho" w:cs="MS Mincho" w:hint="eastAsia"/>
                <w:color w:val="000000"/>
                <w:sz w:val="28"/>
                <w:szCs w:val="28"/>
              </w:rPr>
              <w:t> </w:t>
            </w:r>
            <w:r>
              <w:rPr>
                <w:rFonts w:ascii="仿宋" w:eastAsia="仿宋" w:hAnsi="仿宋" w:hint="eastAsia"/>
                <w:color w:val="000000"/>
                <w:sz w:val="28"/>
                <w:szCs w:val="28"/>
              </w:rPr>
              <w:t>重庆理工大学突破纳米时栅精密测量技术瓶颈，构建“专利创新-制度保障-转化服务”三链融合体系，以核心专利群布局筑牢技术壁垒，以成果确权等制度破解转化堵点，以专业化团队链接产学研需求，通过技术攻关、机制改革与产业服务的耦合，实现4大类30型高精度测量系统产业化，打破国外技术垄断，推动我国精密测量领域自主可控能力的提升。</w:t>
            </w:r>
          </w:p>
        </w:tc>
      </w:tr>
      <w:tr w:rsidR="003C48B3">
        <w:trPr>
          <w:cantSplit/>
          <w:trHeight w:val="2988"/>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t>18</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大型载人倾转旋翼eVTOL专利技术产业化落地，推动低空产业快速发展</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四川沃飞长空科技发展有限公司围绕大型载人倾转旋翼电动垂直起降飞行器（eVTOL）终端产品，采用“核心专利+外围专利+防御专利”组合策略，前瞻布局专利集群，并通过围绕产业链应用专利技术，有效带动了飞控系统、航电系统等十余家上下游企业技术升级，从初创企业迅速成长为行业链主企业，推动了低空经济市场的发展。</w:t>
            </w:r>
          </w:p>
        </w:tc>
      </w:tr>
      <w:tr w:rsidR="003C48B3">
        <w:trPr>
          <w:cantSplit/>
          <w:trHeight w:val="2936"/>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lastRenderedPageBreak/>
              <w:t>19</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产学研深度融合创新，助推锡铅合金智能化精炼装备专利技术落地转化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云南南星科技开发有限公司构建“技术研发-专利布局-标准制定-装备产业化”全链条转化路径，通过产学研深度协同创新，聚焦锡铅合金精炼系统高端成套装备，针对关键技术节点进行系统性专利布局，形成高质量专利组合，与企业共建示范生产线，成功打造拥有完全自主知识产权的锡铅合金智能化精炼装备，助推我国有色金属精炼装备实现从</w:t>
            </w:r>
            <w:r w:rsidR="00B405EF">
              <w:rPr>
                <w:rFonts w:ascii="仿宋" w:eastAsia="仿宋" w:hAnsi="仿宋" w:hint="eastAsia"/>
                <w:color w:val="000000"/>
                <w:sz w:val="28"/>
                <w:szCs w:val="28"/>
              </w:rPr>
              <w:t>“</w:t>
            </w:r>
            <w:r>
              <w:rPr>
                <w:rFonts w:ascii="仿宋" w:eastAsia="仿宋" w:hAnsi="仿宋" w:hint="eastAsia"/>
                <w:color w:val="000000"/>
                <w:sz w:val="28"/>
                <w:szCs w:val="28"/>
              </w:rPr>
              <w:t>跟跑</w:t>
            </w:r>
            <w:r w:rsidR="00B405EF">
              <w:rPr>
                <w:rFonts w:ascii="仿宋" w:eastAsia="仿宋" w:hAnsi="仿宋" w:hint="eastAsia"/>
                <w:color w:val="000000"/>
                <w:sz w:val="28"/>
                <w:szCs w:val="28"/>
              </w:rPr>
              <w:t>”</w:t>
            </w:r>
            <w:r>
              <w:rPr>
                <w:rFonts w:ascii="仿宋" w:eastAsia="仿宋" w:hAnsi="仿宋" w:hint="eastAsia"/>
                <w:color w:val="000000"/>
                <w:sz w:val="28"/>
                <w:szCs w:val="28"/>
              </w:rPr>
              <w:t>到</w:t>
            </w:r>
            <w:r w:rsidR="00B405EF">
              <w:rPr>
                <w:rFonts w:ascii="仿宋" w:eastAsia="仿宋" w:hAnsi="仿宋" w:hint="eastAsia"/>
                <w:color w:val="000000"/>
                <w:sz w:val="28"/>
                <w:szCs w:val="28"/>
              </w:rPr>
              <w:t>“</w:t>
            </w:r>
            <w:r>
              <w:rPr>
                <w:rFonts w:ascii="仿宋" w:eastAsia="仿宋" w:hAnsi="仿宋" w:hint="eastAsia"/>
                <w:color w:val="000000"/>
                <w:sz w:val="28"/>
                <w:szCs w:val="28"/>
              </w:rPr>
              <w:t>领跑</w:t>
            </w:r>
            <w:r w:rsidR="00B405EF">
              <w:rPr>
                <w:rFonts w:ascii="仿宋" w:eastAsia="仿宋" w:hAnsi="仿宋" w:hint="eastAsia"/>
                <w:color w:val="000000"/>
                <w:sz w:val="28"/>
                <w:szCs w:val="28"/>
              </w:rPr>
              <w:t>”</w:t>
            </w:r>
            <w:r>
              <w:rPr>
                <w:rFonts w:ascii="仿宋" w:eastAsia="仿宋" w:hAnsi="仿宋" w:hint="eastAsia"/>
                <w:color w:val="000000"/>
                <w:sz w:val="28"/>
                <w:szCs w:val="28"/>
              </w:rPr>
              <w:t>的跨越。</w:t>
            </w:r>
          </w:p>
        </w:tc>
      </w:tr>
      <w:tr w:rsidR="003C48B3">
        <w:trPr>
          <w:cantSplit/>
          <w:trHeight w:val="2203"/>
        </w:trPr>
        <w:tc>
          <w:tcPr>
            <w:tcW w:w="1020" w:type="dxa"/>
            <w:tcBorders>
              <w:top w:val="single" w:sz="4" w:space="0" w:color="auto"/>
              <w:left w:val="single" w:sz="4" w:space="0" w:color="auto"/>
              <w:bottom w:val="single" w:sz="4" w:space="0" w:color="auto"/>
              <w:right w:val="single" w:sz="4" w:space="0" w:color="auto"/>
            </w:tcBorders>
            <w:noWrap/>
            <w:vAlign w:val="center"/>
          </w:tcPr>
          <w:p w:rsidR="003C48B3" w:rsidRDefault="00E04238">
            <w:pPr>
              <w:widowControl/>
              <w:spacing w:line="440" w:lineRule="exact"/>
              <w:jc w:val="center"/>
              <w:rPr>
                <w:rFonts w:ascii="仿宋" w:eastAsia="仿宋" w:hAnsi="仿宋"/>
                <w:color w:val="000000"/>
                <w:sz w:val="28"/>
                <w:szCs w:val="28"/>
              </w:rPr>
            </w:pPr>
            <w:r>
              <w:rPr>
                <w:rFonts w:ascii="仿宋" w:eastAsia="仿宋" w:hAnsi="仿宋" w:hint="eastAsia"/>
                <w:color w:val="000000"/>
                <w:sz w:val="28"/>
                <w:szCs w:val="28"/>
              </w:rPr>
              <w:t>20</w:t>
            </w:r>
          </w:p>
        </w:tc>
        <w:tc>
          <w:tcPr>
            <w:tcW w:w="3199"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jc w:val="left"/>
              <w:rPr>
                <w:rFonts w:ascii="仿宋" w:eastAsia="仿宋" w:hAnsi="仿宋"/>
                <w:color w:val="000000"/>
                <w:sz w:val="28"/>
                <w:szCs w:val="28"/>
              </w:rPr>
            </w:pPr>
            <w:r>
              <w:rPr>
                <w:rFonts w:ascii="仿宋" w:eastAsia="仿宋" w:hAnsi="仿宋" w:hint="eastAsia"/>
                <w:color w:val="000000"/>
                <w:sz w:val="28"/>
                <w:szCs w:val="28"/>
              </w:rPr>
              <w:t>多维度专利转化模式，促进高性能摩擦材料与陶瓷隔热阻燃材料专利技术产业化</w:t>
            </w:r>
          </w:p>
        </w:tc>
        <w:tc>
          <w:tcPr>
            <w:tcW w:w="9781" w:type="dxa"/>
            <w:tcBorders>
              <w:top w:val="single" w:sz="4" w:space="0" w:color="auto"/>
              <w:left w:val="single" w:sz="4" w:space="0" w:color="auto"/>
              <w:bottom w:val="single" w:sz="4" w:space="0" w:color="auto"/>
              <w:right w:val="single" w:sz="4" w:space="0" w:color="auto"/>
            </w:tcBorders>
            <w:vAlign w:val="center"/>
          </w:tcPr>
          <w:p w:rsidR="003C48B3" w:rsidRDefault="00E04238">
            <w:pPr>
              <w:widowControl/>
              <w:spacing w:line="440" w:lineRule="exact"/>
              <w:ind w:firstLineChars="200" w:firstLine="560"/>
              <w:jc w:val="left"/>
              <w:rPr>
                <w:rFonts w:ascii="仿宋" w:eastAsia="仿宋" w:hAnsi="仿宋"/>
                <w:color w:val="000000"/>
                <w:sz w:val="28"/>
                <w:szCs w:val="28"/>
              </w:rPr>
            </w:pPr>
            <w:r>
              <w:rPr>
                <w:rFonts w:ascii="仿宋" w:eastAsia="仿宋" w:hAnsi="仿宋" w:hint="eastAsia"/>
                <w:color w:val="000000"/>
                <w:sz w:val="28"/>
                <w:szCs w:val="28"/>
              </w:rPr>
              <w:t>西北工业大学针对高性能摩擦材料与陶瓷隔热阻燃材料，通过从专利布局、技术评估、量身定制转化方案等多个维度开展有组织的专利</w:t>
            </w:r>
            <w:r w:rsidR="007D30F5">
              <w:rPr>
                <w:rFonts w:ascii="仿宋" w:eastAsia="仿宋" w:hAnsi="仿宋" w:hint="eastAsia"/>
                <w:color w:val="000000"/>
                <w:sz w:val="28"/>
                <w:szCs w:val="28"/>
              </w:rPr>
              <w:t>技术</w:t>
            </w:r>
            <w:r>
              <w:rPr>
                <w:rFonts w:ascii="仿宋" w:eastAsia="仿宋" w:hAnsi="仿宋" w:hint="eastAsia"/>
                <w:color w:val="000000"/>
                <w:sz w:val="28"/>
                <w:szCs w:val="28"/>
              </w:rPr>
              <w:t>转化，促成16项专利以作价入股方式组建公司，科研团队与企业形成了利益共享、风险共担的经济共同体，有效激发了科研人员积极性和创造性，促进了校企协同研发和技术成果的持续升级，为科研与产业深度融合提供了新路径。</w:t>
            </w:r>
          </w:p>
        </w:tc>
      </w:tr>
    </w:tbl>
    <w:p w:rsidR="003C48B3" w:rsidRDefault="003C48B3"/>
    <w:sectPr w:rsidR="003C48B3" w:rsidSect="003C48B3">
      <w:footerReference w:type="default" r:id="rId7"/>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224C" w:rsidRDefault="007A224C" w:rsidP="003C48B3">
      <w:r>
        <w:separator/>
      </w:r>
    </w:p>
  </w:endnote>
  <w:endnote w:type="continuationSeparator" w:id="0">
    <w:p w:rsidR="007A224C" w:rsidRDefault="007A224C" w:rsidP="003C48B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48B3" w:rsidRDefault="007601D4">
    <w:pPr>
      <w:pStyle w:val="a3"/>
    </w:pPr>
    <w:r>
      <w:rPr>
        <w:noProof/>
      </w:rPr>
      <w:pict>
        <v:shapetype id="_x0000_t202" coordsize="21600,21600" o:spt="202" path="m,l,21600r21600,l21600,xe">
          <v:stroke joinstyle="miter"/>
          <v:path gradientshapeok="t" o:connecttype="rect"/>
        </v:shapetype>
        <v:shape id="Text Box 2" o:spid="_x0000_s4097" type="#_x0000_t202" style="position:absolute;margin-left:0;margin-top:0;width:4.6pt;height:11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" filled="f" stroked="f" strokeweight=".5pt">
          <v:textbox style="mso-fit-shape-to-text:t" inset="0,0,0,0">
            <w:txbxContent>
              <w:p w:rsidR="003C48B3" w:rsidRDefault="007601D4">
                <w:pPr>
                  <w:pStyle w:val="a3"/>
                </w:pPr>
                <w:r>
                  <w:fldChar w:fldCharType="begin"/>
                </w:r>
                <w:r w:rsidR="00E04238">
                  <w:instrText xml:space="preserve"> PAGE  \* MERGEFORMAT </w:instrText>
                </w:r>
                <w:r>
                  <w:fldChar w:fldCharType="separate"/>
                </w:r>
                <w:r w:rsidR="00A57D72">
                  <w:rPr>
                    <w:noProof/>
                  </w:rPr>
                  <w:t>2</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224C" w:rsidRDefault="007A224C" w:rsidP="003C48B3">
      <w:r>
        <w:separator/>
      </w:r>
    </w:p>
  </w:footnote>
  <w:footnote w:type="continuationSeparator" w:id="0">
    <w:p w:rsidR="007A224C" w:rsidRDefault="007A224C" w:rsidP="003C48B3">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姬翔">
    <w15:presenceInfo w15:providerId="None" w15:userId="姬翔"/>
  </w15:person>
  <w15:person w15:author="姜伟">
    <w15:presenceInfo w15:providerId="None" w15:userId="姜伟"/>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trackRevisions/>
  <w:defaultTabStop w:val="420"/>
  <w:drawingGridHorizontalSpacing w:val="105"/>
  <w:drawingGridVerticalSpacing w:val="156"/>
  <w:displayHorizontalDrawingGridEvery w:val="0"/>
  <w:displayVerticalDrawingGridEvery w:val="2"/>
  <w:characterSpacingControl w:val="compressPunctuation"/>
  <w:hdrShapeDefaults>
    <o:shapedefaults v:ext="edit" spidmax="4099"/>
    <o:shapelayout v:ext="edit">
      <o:idmap v:ext="edit" data="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C3143"/>
    <w:rsid w:val="BDB7ACC1"/>
    <w:rsid w:val="DDBDE99A"/>
    <w:rsid w:val="ECEF1774"/>
    <w:rsid w:val="F77FE17F"/>
    <w:rsid w:val="FC7F1229"/>
    <w:rsid w:val="FEFE66B3"/>
    <w:rsid w:val="FF26957C"/>
    <w:rsid w:val="00014165"/>
    <w:rsid w:val="000917AE"/>
    <w:rsid w:val="000C3143"/>
    <w:rsid w:val="00124947"/>
    <w:rsid w:val="001658E0"/>
    <w:rsid w:val="001A0C3D"/>
    <w:rsid w:val="00217CD8"/>
    <w:rsid w:val="002B1E5C"/>
    <w:rsid w:val="00340873"/>
    <w:rsid w:val="003959B3"/>
    <w:rsid w:val="003C48B3"/>
    <w:rsid w:val="003D24FA"/>
    <w:rsid w:val="003F4DCD"/>
    <w:rsid w:val="00442BB6"/>
    <w:rsid w:val="004B235F"/>
    <w:rsid w:val="00500CC1"/>
    <w:rsid w:val="00516876"/>
    <w:rsid w:val="00565048"/>
    <w:rsid w:val="00565655"/>
    <w:rsid w:val="00577782"/>
    <w:rsid w:val="005A2671"/>
    <w:rsid w:val="00617CD7"/>
    <w:rsid w:val="00622934"/>
    <w:rsid w:val="00657A4F"/>
    <w:rsid w:val="006B2081"/>
    <w:rsid w:val="00721EBC"/>
    <w:rsid w:val="007601D4"/>
    <w:rsid w:val="00790C25"/>
    <w:rsid w:val="007A224C"/>
    <w:rsid w:val="007A64BD"/>
    <w:rsid w:val="007D30F5"/>
    <w:rsid w:val="007E426D"/>
    <w:rsid w:val="00802C10"/>
    <w:rsid w:val="008546BA"/>
    <w:rsid w:val="008B2712"/>
    <w:rsid w:val="009118C4"/>
    <w:rsid w:val="00976B78"/>
    <w:rsid w:val="009959E5"/>
    <w:rsid w:val="009D0A79"/>
    <w:rsid w:val="00A57D72"/>
    <w:rsid w:val="00AB1118"/>
    <w:rsid w:val="00B405EF"/>
    <w:rsid w:val="00B40755"/>
    <w:rsid w:val="00B627A3"/>
    <w:rsid w:val="00BC28C8"/>
    <w:rsid w:val="00BF3FA6"/>
    <w:rsid w:val="00C4677E"/>
    <w:rsid w:val="00C91FF5"/>
    <w:rsid w:val="00C928C3"/>
    <w:rsid w:val="00DC38FB"/>
    <w:rsid w:val="00E04238"/>
    <w:rsid w:val="00E72937"/>
    <w:rsid w:val="00F05FBB"/>
    <w:rsid w:val="00F6062A"/>
    <w:rsid w:val="00FC2EDE"/>
    <w:rsid w:val="00FD652C"/>
    <w:rsid w:val="00FE42CA"/>
    <w:rsid w:val="09FDF44F"/>
    <w:rsid w:val="0F4FEB9F"/>
    <w:rsid w:val="3AE688BD"/>
    <w:rsid w:val="56C57AF6"/>
    <w:rsid w:val="76FFA0AA"/>
    <w:rsid w:val="7B868740"/>
    <w:rsid w:val="7EDF37B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48B3"/>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3C48B3"/>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3C48B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sid w:val="003C48B3"/>
    <w:rPr>
      <w:sz w:val="18"/>
      <w:szCs w:val="18"/>
    </w:rPr>
  </w:style>
  <w:style w:type="character" w:customStyle="1" w:styleId="Char">
    <w:name w:val="页脚 Char"/>
    <w:basedOn w:val="a0"/>
    <w:link w:val="a3"/>
    <w:uiPriority w:val="99"/>
    <w:qFormat/>
    <w:rsid w:val="003C48B3"/>
    <w:rPr>
      <w:sz w:val="18"/>
      <w:szCs w:val="18"/>
    </w:rPr>
  </w:style>
  <w:style w:type="paragraph" w:styleId="a5">
    <w:name w:val="Balloon Text"/>
    <w:basedOn w:val="a"/>
    <w:link w:val="Char1"/>
    <w:uiPriority w:val="99"/>
    <w:semiHidden/>
    <w:unhideWhenUsed/>
    <w:rsid w:val="00790C25"/>
    <w:rPr>
      <w:sz w:val="18"/>
      <w:szCs w:val="18"/>
    </w:rPr>
  </w:style>
  <w:style w:type="character" w:customStyle="1" w:styleId="Char1">
    <w:name w:val="批注框文本 Char"/>
    <w:basedOn w:val="a0"/>
    <w:link w:val="a5"/>
    <w:uiPriority w:val="99"/>
    <w:semiHidden/>
    <w:rsid w:val="00790C25"/>
    <w:rPr>
      <w:rFonts w:ascii="Calibri" w:eastAsia="宋体" w:hAnsi="Calibri"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48B3"/>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3C48B3"/>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3C48B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sid w:val="003C48B3"/>
    <w:rPr>
      <w:sz w:val="18"/>
      <w:szCs w:val="18"/>
    </w:rPr>
  </w:style>
  <w:style w:type="character" w:customStyle="1" w:styleId="Char">
    <w:name w:val="页脚 Char"/>
    <w:basedOn w:val="a0"/>
    <w:link w:val="a3"/>
    <w:uiPriority w:val="99"/>
    <w:qFormat/>
    <w:rsid w:val="003C48B3"/>
    <w:rPr>
      <w:sz w:val="18"/>
      <w:szCs w:val="18"/>
    </w:rPr>
  </w:style>
  <w:style w:type="paragraph" w:styleId="a5">
    <w:name w:val="Balloon Text"/>
    <w:basedOn w:val="a"/>
    <w:link w:val="Char1"/>
    <w:uiPriority w:val="99"/>
    <w:semiHidden/>
    <w:unhideWhenUsed/>
    <w:rsid w:val="00790C25"/>
    <w:rPr>
      <w:sz w:val="18"/>
      <w:szCs w:val="18"/>
    </w:rPr>
  </w:style>
  <w:style w:type="character" w:customStyle="1" w:styleId="Char1">
    <w:name w:val="批注框文本 Char"/>
    <w:basedOn w:val="a0"/>
    <w:link w:val="a5"/>
    <w:uiPriority w:val="99"/>
    <w:semiHidden/>
    <w:rsid w:val="00790C25"/>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586</Words>
  <Characters>3341</Characters>
  <Application>Microsoft Office Word</Application>
  <DocSecurity>0</DocSecurity>
  <Lines>27</Lines>
  <Paragraphs>7</Paragraphs>
  <ScaleCrop>false</ScaleCrop>
  <Company/>
  <LinksUpToDate>false</LinksUpToDate>
  <CharactersWithSpaces>3920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葛凯凯</dc:creator>
  <cp:lastModifiedBy>廖佳佳</cp:lastModifiedBy>
  <cp:revision>2</cp:revision>
  <cp:lastPrinted>2025-04-23T07:53:00Z</cp:lastPrinted>
  <dcterms:created xsi:type="dcterms:W3CDTF">2025-04-23T08:04:00Z</dcterms:created>
  <dcterms:modified xsi:type="dcterms:W3CDTF">2025-04-23T08:04:00Z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