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D1D3F4">
      <w:pPr>
        <w:pStyle w:val="2"/>
        <w:spacing w:line="570" w:lineRule="exact"/>
        <w:ind w:firstLine="0"/>
        <w:rPr>
          <w:rFonts w:hint="default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</w:rPr>
        <w:t>附件2</w:t>
      </w:r>
      <w:r>
        <w:rPr>
          <w:rFonts w:hint="eastAsia" w:ascii="黑体" w:hAnsi="黑体" w:eastAsia="黑体" w:cs="黑体"/>
          <w:lang w:val="en-US" w:eastAsia="zh-CN"/>
        </w:rPr>
        <w:t>-1</w:t>
      </w:r>
    </w:p>
    <w:p w14:paraId="5D4A4C65">
      <w:pPr>
        <w:tabs>
          <w:tab w:val="left" w:pos="9193"/>
          <w:tab w:val="left" w:pos="9827"/>
        </w:tabs>
        <w:autoSpaceDE w:val="0"/>
        <w:autoSpaceDN w:val="0"/>
        <w:snapToGrid w:val="0"/>
        <w:spacing w:line="570" w:lineRule="exact"/>
        <w:jc w:val="center"/>
        <w:rPr>
          <w:rFonts w:ascii="方正小标宋_GBK" w:hAnsi="方正小标宋_GBK" w:eastAsia="方正小标宋_GBK" w:cs="方正小标宋_GBK"/>
          <w:bCs/>
          <w:sz w:val="44"/>
          <w:szCs w:val="44"/>
        </w:rPr>
      </w:pPr>
    </w:p>
    <w:p w14:paraId="384B13DD">
      <w:pPr>
        <w:tabs>
          <w:tab w:val="left" w:pos="9193"/>
          <w:tab w:val="left" w:pos="9827"/>
        </w:tabs>
        <w:autoSpaceDE w:val="0"/>
        <w:autoSpaceDN w:val="0"/>
        <w:snapToGrid w:val="0"/>
        <w:spacing w:line="570" w:lineRule="exact"/>
        <w:jc w:val="center"/>
        <w:rPr>
          <w:rFonts w:hint="eastAsia" w:ascii="Times New Roman" w:hAnsi="Times New Roman" w:eastAsia="方正小标宋_GBK" w:cs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2026年省商标品牌培育和保护（工业品</w:t>
      </w:r>
      <w:r>
        <w:rPr>
          <w:rFonts w:hint="eastAsia" w:ascii="Times New Roman" w:hAnsi="Times New Roman" w:eastAsia="方正小标宋_GBK" w:cs="方正小标宋_GBK"/>
          <w:bCs/>
          <w:sz w:val="44"/>
          <w:szCs w:val="44"/>
        </w:rPr>
        <w:t>牌）</w:t>
      </w:r>
    </w:p>
    <w:p w14:paraId="068044E6">
      <w:pPr>
        <w:tabs>
          <w:tab w:val="left" w:pos="9193"/>
          <w:tab w:val="left" w:pos="9827"/>
        </w:tabs>
        <w:autoSpaceDE w:val="0"/>
        <w:autoSpaceDN w:val="0"/>
        <w:snapToGrid w:val="0"/>
        <w:spacing w:line="570" w:lineRule="exact"/>
        <w:jc w:val="center"/>
        <w:rPr>
          <w:rFonts w:ascii="Times New Roman" w:hAnsi="Times New Roman" w:eastAsia="方正小标宋_GBK"/>
          <w:bCs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sz w:val="44"/>
          <w:szCs w:val="44"/>
        </w:rPr>
        <w:t>项目</w:t>
      </w:r>
      <w:r>
        <w:rPr>
          <w:rFonts w:hint="eastAsia" w:ascii="Times New Roman" w:hAnsi="Times New Roman" w:eastAsia="方正小标宋_GBK" w:cs="方正小标宋_GBK"/>
          <w:bCs/>
          <w:sz w:val="44"/>
          <w:szCs w:val="44"/>
        </w:rPr>
        <w:t>申报指南</w:t>
      </w:r>
    </w:p>
    <w:p w14:paraId="1B5A083E">
      <w:pPr>
        <w:autoSpaceDE w:val="0"/>
        <w:autoSpaceDN w:val="0"/>
        <w:snapToGrid w:val="0"/>
        <w:spacing w:line="570" w:lineRule="exact"/>
        <w:ind w:firstLine="624"/>
        <w:rPr>
          <w:rFonts w:ascii="Times New Roman" w:hAnsi="Times New Roman" w:eastAsia="方正仿宋_GBK"/>
          <w:bCs/>
          <w:kern w:val="0"/>
          <w:sz w:val="32"/>
          <w:szCs w:val="20"/>
        </w:rPr>
      </w:pPr>
    </w:p>
    <w:p w14:paraId="63A05419">
      <w:pPr>
        <w:overflowPunct w:val="0"/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 w:cs="宋体"/>
          <w:bCs/>
          <w:kern w:val="0"/>
          <w:sz w:val="32"/>
          <w:szCs w:val="20"/>
        </w:rPr>
      </w:pPr>
      <w:r>
        <w:rPr>
          <w:rFonts w:hint="eastAsia" w:ascii="Times New Roman" w:hAnsi="Times New Roman" w:eastAsia="方正黑体_GBK" w:cs="方正黑体_GBK"/>
          <w:bCs/>
          <w:sz w:val="32"/>
        </w:rPr>
        <w:t>一</w:t>
      </w:r>
      <w:r>
        <w:rPr>
          <w:rFonts w:hint="eastAsia" w:ascii="宋体" w:hAnsi="宋体" w:eastAsia="方正黑体_GBK" w:cs="方正黑体_GBK"/>
          <w:bCs/>
          <w:sz w:val="32"/>
        </w:rPr>
        <w:t>、申报主体</w:t>
      </w:r>
    </w:p>
    <w:p w14:paraId="51BE97E0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方正仿宋_GBK"/>
          <w:bCs/>
          <w:sz w:val="32"/>
        </w:rPr>
      </w:pPr>
      <w:r>
        <w:rPr>
          <w:rFonts w:hint="eastAsia" w:ascii="宋体" w:hAnsi="宋体" w:eastAsia="方正仿宋_GBK" w:cs="方正仿宋_GBK"/>
          <w:bCs/>
          <w:sz w:val="32"/>
        </w:rPr>
        <w:t>江苏省具有独立法人资格的</w:t>
      </w:r>
      <w:r>
        <w:rPr>
          <w:rFonts w:hint="eastAsia" w:ascii="宋体" w:hAnsi="宋体" w:eastAsia="方正仿宋_GBK" w:cs="方正仿宋_GBK"/>
          <w:bCs/>
          <w:sz w:val="32"/>
          <w:lang w:val="en-US" w:eastAsia="zh-CN"/>
        </w:rPr>
        <w:t>中小工业企业</w:t>
      </w:r>
      <w:r>
        <w:rPr>
          <w:rFonts w:hint="eastAsia" w:ascii="宋体" w:hAnsi="宋体" w:eastAsia="方正仿宋_GBK" w:cs="方正仿宋_GBK"/>
          <w:bCs/>
          <w:sz w:val="32"/>
        </w:rPr>
        <w:t>。</w:t>
      </w:r>
    </w:p>
    <w:p w14:paraId="2BA35B86">
      <w:pPr>
        <w:overflowPunct w:val="0"/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黑体_GBK" w:cs="方正黑体_GBK"/>
          <w:bCs/>
          <w:sz w:val="32"/>
        </w:rPr>
        <w:t>二、申报条件</w:t>
      </w:r>
    </w:p>
    <w:p w14:paraId="781CBCDA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Cs/>
          <w:kern w:val="0"/>
          <w:sz w:val="32"/>
          <w:szCs w:val="20"/>
        </w:rPr>
        <w:t>（</w:t>
      </w:r>
      <w:r>
        <w:rPr>
          <w:rFonts w:hint="eastAsia" w:ascii="宋体" w:hAnsi="宋体" w:eastAsia="方正仿宋_GBK" w:cs="方正仿宋_GBK"/>
          <w:bCs/>
          <w:snapToGrid w:val="0"/>
          <w:kern w:val="0"/>
          <w:sz w:val="32"/>
          <w:szCs w:val="20"/>
        </w:rPr>
        <w:t>一</w:t>
      </w:r>
      <w:r>
        <w:rPr>
          <w:rFonts w:hint="eastAsia" w:ascii="宋体" w:hAnsi="宋体" w:eastAsia="方正仿宋_GBK" w:cs="方正仿宋_GBK"/>
          <w:bCs/>
          <w:kern w:val="0"/>
          <w:sz w:val="32"/>
          <w:szCs w:val="20"/>
        </w:rPr>
        <w:t>）</w:t>
      </w:r>
      <w:r>
        <w:rPr>
          <w:rFonts w:hint="eastAsia" w:ascii="宋体" w:hAnsi="宋体" w:eastAsia="方正仿宋_GBK" w:cs="方正仿宋_GBK"/>
          <w:bCs/>
          <w:snapToGrid w:val="0"/>
          <w:kern w:val="0"/>
          <w:sz w:val="32"/>
          <w:szCs w:val="20"/>
        </w:rPr>
        <w:t>具有良好的知识产权工作基础。</w:t>
      </w:r>
      <w:r>
        <w:rPr>
          <w:rFonts w:hint="eastAsia" w:ascii="宋体" w:hAnsi="宋体" w:eastAsia="方正仿宋_GBK" w:cs="方正仿宋_GBK"/>
          <w:bCs/>
          <w:kern w:val="0"/>
          <w:sz w:val="32"/>
          <w:szCs w:val="20"/>
        </w:rPr>
        <w:t>达到企业知识产权管理规范国家标准，</w:t>
      </w:r>
      <w:r>
        <w:rPr>
          <w:rFonts w:hint="eastAsia" w:ascii="宋体" w:hAnsi="宋体" w:eastAsia="方正仿宋_GBK" w:cs="方正仿宋_GBK"/>
          <w:bCs/>
          <w:sz w:val="32"/>
        </w:rPr>
        <w:t>知识产权管理制度比较健全，</w:t>
      </w:r>
      <w:r>
        <w:rPr>
          <w:rFonts w:hint="eastAsia" w:ascii="宋体" w:hAnsi="宋体" w:eastAsia="方正仿宋_GBK" w:cs="方正仿宋_GBK"/>
          <w:bCs/>
          <w:snapToGrid w:val="0"/>
          <w:kern w:val="0"/>
          <w:sz w:val="32"/>
          <w:szCs w:val="20"/>
        </w:rPr>
        <w:t>有相对独立的知识产权管理机构</w:t>
      </w:r>
      <w:r>
        <w:rPr>
          <w:rFonts w:hint="eastAsia" w:ascii="宋体" w:hAnsi="宋体" w:eastAsia="方正仿宋_GBK" w:cs="方正仿宋_GBK"/>
          <w:bCs/>
          <w:sz w:val="32"/>
          <w:lang w:eastAsia="zh-CN"/>
        </w:rPr>
        <w:t>，</w:t>
      </w:r>
      <w:r>
        <w:rPr>
          <w:rFonts w:hint="eastAsia" w:ascii="宋体" w:hAnsi="宋体" w:eastAsia="方正仿宋_GBK" w:cs="方正仿宋_GBK"/>
          <w:bCs/>
          <w:sz w:val="32"/>
        </w:rPr>
        <w:t>知识产权工作经费充足</w:t>
      </w:r>
      <w:r>
        <w:rPr>
          <w:rFonts w:hint="eastAsia" w:ascii="宋体" w:hAnsi="宋体" w:eastAsia="方正仿宋_GBK" w:cs="方正仿宋_GBK"/>
          <w:bCs/>
          <w:sz w:val="32"/>
          <w:szCs w:val="32"/>
        </w:rPr>
        <w:t>。</w:t>
      </w:r>
    </w:p>
    <w:p w14:paraId="192142AF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Cs/>
          <w:sz w:val="32"/>
        </w:rPr>
        <w:t>（</w:t>
      </w:r>
      <w:r>
        <w:rPr>
          <w:rFonts w:hint="eastAsia" w:ascii="宋体" w:hAnsi="宋体" w:eastAsia="方正仿宋_GBK" w:cs="方正仿宋_GBK"/>
          <w:bCs/>
          <w:snapToGrid w:val="0"/>
          <w:kern w:val="0"/>
          <w:sz w:val="32"/>
          <w:szCs w:val="20"/>
        </w:rPr>
        <w:t>二</w:t>
      </w:r>
      <w:r>
        <w:rPr>
          <w:rFonts w:hint="eastAsia" w:ascii="宋体" w:hAnsi="宋体" w:eastAsia="方正仿宋_GBK" w:cs="方正仿宋_GBK"/>
          <w:bCs/>
          <w:sz w:val="32"/>
        </w:rPr>
        <w:t>）</w:t>
      </w:r>
      <w:r>
        <w:rPr>
          <w:rFonts w:hint="eastAsia" w:ascii="宋体" w:hAnsi="宋体" w:eastAsia="方正仿宋_GBK" w:cs="方正仿宋_GBK"/>
          <w:bCs/>
          <w:snapToGrid w:val="0"/>
          <w:kern w:val="0"/>
          <w:sz w:val="32"/>
          <w:szCs w:val="20"/>
        </w:rPr>
        <w:t>具有良好的商标品牌培育基础。</w:t>
      </w:r>
      <w:r>
        <w:rPr>
          <w:rFonts w:hint="eastAsia" w:ascii="宋体" w:hAnsi="宋体" w:eastAsia="方正仿宋_GBK" w:cs="方正仿宋_GBK"/>
          <w:bCs/>
          <w:sz w:val="32"/>
        </w:rPr>
        <w:t>拥有有效注册商标，具有一定知名度和美誉度。</w:t>
      </w:r>
    </w:p>
    <w:p w14:paraId="4DE0389F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Cs/>
          <w:sz w:val="32"/>
        </w:rPr>
        <w:t>（</w:t>
      </w:r>
      <w:r>
        <w:rPr>
          <w:rFonts w:hint="eastAsia" w:ascii="宋体" w:hAnsi="宋体" w:eastAsia="方正仿宋_GBK" w:cs="方正仿宋_GBK"/>
          <w:bCs/>
          <w:snapToGrid w:val="0"/>
          <w:kern w:val="0"/>
          <w:sz w:val="32"/>
          <w:szCs w:val="20"/>
        </w:rPr>
        <w:t>三</w:t>
      </w:r>
      <w:r>
        <w:rPr>
          <w:rFonts w:hint="eastAsia" w:ascii="宋体" w:hAnsi="宋体" w:eastAsia="方正仿宋_GBK" w:cs="方正仿宋_GBK"/>
          <w:bCs/>
          <w:sz w:val="32"/>
        </w:rPr>
        <w:t>）重视技术创新。上一年度研发费用投入占销售收入比例</w:t>
      </w:r>
      <w:r>
        <w:rPr>
          <w:rFonts w:hint="eastAsia" w:ascii="宋体" w:hAnsi="宋体" w:eastAsia="方正仿宋_GBK" w:cs="方正仿宋_GBK"/>
          <w:bCs/>
          <w:sz w:val="32"/>
          <w:lang w:val="en-US" w:eastAsia="zh-CN"/>
        </w:rPr>
        <w:t>较高，</w:t>
      </w:r>
      <w:r>
        <w:rPr>
          <w:rFonts w:hint="eastAsia" w:ascii="宋体" w:hAnsi="宋体" w:eastAsia="方正仿宋_GBK" w:cs="方正仿宋_GBK"/>
          <w:bCs/>
          <w:sz w:val="32"/>
          <w:lang w:eastAsia="zh-CN"/>
        </w:rPr>
        <w:t>有相应的</w:t>
      </w:r>
      <w:r>
        <w:rPr>
          <w:rFonts w:hint="eastAsia" w:ascii="宋体" w:hAnsi="宋体" w:eastAsia="方正仿宋_GBK" w:cs="方正仿宋_GBK"/>
          <w:bCs/>
          <w:sz w:val="32"/>
        </w:rPr>
        <w:t>专利</w:t>
      </w:r>
      <w:r>
        <w:rPr>
          <w:rFonts w:hint="eastAsia" w:ascii="宋体" w:hAnsi="宋体" w:eastAsia="方正仿宋_GBK" w:cs="方正仿宋_GBK"/>
          <w:bCs/>
          <w:sz w:val="32"/>
          <w:lang w:eastAsia="zh-CN"/>
        </w:rPr>
        <w:t>产出</w:t>
      </w:r>
      <w:r>
        <w:rPr>
          <w:rFonts w:hint="eastAsia" w:ascii="宋体" w:hAnsi="宋体" w:eastAsia="方正仿宋_GBK" w:cs="方正仿宋_GBK"/>
          <w:bCs/>
          <w:sz w:val="32"/>
        </w:rPr>
        <w:t>。</w:t>
      </w:r>
      <w:bookmarkStart w:id="13" w:name="_GoBack"/>
      <w:bookmarkEnd w:id="13"/>
    </w:p>
    <w:p w14:paraId="764B9F45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Cs/>
          <w:kern w:val="0"/>
          <w:sz w:val="32"/>
          <w:szCs w:val="20"/>
        </w:rPr>
        <w:t>（</w:t>
      </w:r>
      <w:r>
        <w:rPr>
          <w:rFonts w:hint="eastAsia" w:ascii="宋体" w:hAnsi="宋体" w:eastAsia="方正仿宋_GBK" w:cs="方正仿宋_GBK"/>
          <w:bCs/>
          <w:snapToGrid w:val="0"/>
          <w:kern w:val="0"/>
          <w:sz w:val="32"/>
          <w:szCs w:val="20"/>
        </w:rPr>
        <w:t>四</w:t>
      </w:r>
      <w:r>
        <w:rPr>
          <w:rFonts w:hint="eastAsia" w:ascii="宋体" w:hAnsi="宋体" w:eastAsia="方正仿宋_GBK" w:cs="方正仿宋_GBK"/>
          <w:bCs/>
          <w:kern w:val="0"/>
          <w:sz w:val="32"/>
          <w:szCs w:val="20"/>
        </w:rPr>
        <w:t>）企业经营状况良好</w:t>
      </w:r>
      <w:r>
        <w:rPr>
          <w:rFonts w:hint="eastAsia" w:ascii="宋体" w:hAnsi="宋体" w:eastAsia="方正仿宋_GBK" w:cs="方正仿宋_GBK"/>
          <w:bCs/>
          <w:kern w:val="0"/>
          <w:sz w:val="32"/>
          <w:szCs w:val="32"/>
        </w:rPr>
        <w:t>，近3年未发生重大产品质量、安全健康、环境保护等责任事故，</w:t>
      </w:r>
      <w:r>
        <w:rPr>
          <w:rFonts w:hint="eastAsia" w:ascii="宋体" w:hAnsi="宋体" w:eastAsia="方正仿宋_GBK" w:cs="方正仿宋_GBK"/>
          <w:bCs/>
          <w:sz w:val="32"/>
        </w:rPr>
        <w:t>无严重失信行为，无非正常专利申请行为。</w:t>
      </w:r>
    </w:p>
    <w:p w14:paraId="53C2C4AD">
      <w:pPr>
        <w:overflowPunct w:val="0"/>
        <w:autoSpaceDE w:val="0"/>
        <w:autoSpaceDN w:val="0"/>
        <w:adjustRightInd w:val="0"/>
        <w:snapToGrid w:val="0"/>
        <w:spacing w:line="570" w:lineRule="exact"/>
        <w:ind w:firstLine="640" w:firstLineChars="200"/>
        <w:rPr>
          <w:rFonts w:ascii="宋体" w:hAnsi="宋体" w:eastAsia="方正黑体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黑体_GBK" w:cs="方正黑体_GBK"/>
          <w:bCs/>
          <w:sz w:val="32"/>
        </w:rPr>
        <w:t>三、项目任务和绩效目标</w:t>
      </w:r>
    </w:p>
    <w:p w14:paraId="7EEA571E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楷体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楷体_GBK" w:cs="方正楷体_GBK"/>
          <w:bCs/>
          <w:sz w:val="32"/>
        </w:rPr>
        <w:t>（一）项目任务</w:t>
      </w:r>
    </w:p>
    <w:p w14:paraId="377200A1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方正仿宋_GBK"/>
          <w:bCs/>
          <w:sz w:val="32"/>
        </w:rPr>
      </w:pPr>
      <w:bookmarkStart w:id="0" w:name="OLE_LINK1"/>
      <w:bookmarkStart w:id="1" w:name="OLE_LINK2"/>
      <w:r>
        <w:rPr>
          <w:rFonts w:hint="eastAsia" w:ascii="宋体" w:hAnsi="宋体" w:eastAsia="方正仿宋_GBK" w:cs="方正仿宋_GBK"/>
          <w:bCs/>
          <w:sz w:val="32"/>
        </w:rPr>
        <w:t>1.制定战略规划，完善管理机制。</w:t>
      </w:r>
      <w:bookmarkEnd w:id="0"/>
      <w:bookmarkEnd w:id="1"/>
      <w:r>
        <w:rPr>
          <w:rFonts w:hint="eastAsia" w:ascii="宋体" w:hAnsi="宋体" w:eastAsia="方正仿宋_GBK" w:cs="方正仿宋_GBK"/>
          <w:bCs/>
          <w:sz w:val="32"/>
        </w:rPr>
        <w:t>结合企业经营发展战略、资源禀赋、文化传承等因素，重新梳理确立企业商标品牌定位，制定《企业商标品牌发展战略规划》。设立企业首席品牌官，由主要负责人担任，牵头策划并统筹推进商标品牌建设，建立知识产权、市场营销、法务等多部门协作机制，定期召开商标品牌专题例会。完善商标品牌管理制度，开展商标品牌管理标准化建设，规范商标注册和使用行为，加强商标品牌资产管理，规范资产评估、流转和授权行为。</w:t>
      </w:r>
    </w:p>
    <w:p w14:paraId="1C6CC7FA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bCs/>
          <w:kern w:val="0"/>
          <w:sz w:val="32"/>
          <w:szCs w:val="20"/>
          <w:shd w:val="clear" w:color="auto" w:fill="D9D9D9"/>
        </w:rPr>
      </w:pPr>
      <w:bookmarkStart w:id="2" w:name="OLE_LINK3"/>
      <w:bookmarkStart w:id="3" w:name="OLE_LINK4"/>
      <w:r>
        <w:rPr>
          <w:rFonts w:hint="eastAsia" w:ascii="宋体" w:hAnsi="宋体" w:eastAsia="方正仿宋_GBK" w:cs="方正仿宋_GBK"/>
          <w:bCs/>
          <w:sz w:val="32"/>
        </w:rPr>
        <w:t>2.建立识别系统，优化商标布局。</w:t>
      </w:r>
      <w:bookmarkEnd w:id="2"/>
      <w:bookmarkEnd w:id="3"/>
      <w:r>
        <w:rPr>
          <w:rFonts w:hint="eastAsia" w:ascii="宋体" w:hAnsi="宋体" w:eastAsia="方正仿宋_GBK" w:cs="方正仿宋_GBK"/>
          <w:bCs/>
          <w:sz w:val="32"/>
        </w:rPr>
        <w:t>全面梳理企业商标品牌资源，开展市场调研，形成《企业商标布局和市场分析报告》。根据市场调研和品牌定位，开展“企业形象识别系统”设计，构建能够准确反映企业价值观和文化理念、具有鲜明视觉特征和形象个性的企业形象识别系统。在此基础上，优化商标布局，完善品牌架构，在产品主要销售国家和地区实现注册商标全覆盖，建立商标品牌矩阵。</w:t>
      </w:r>
    </w:p>
    <w:p w14:paraId="37B9AF23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bCs/>
          <w:kern w:val="0"/>
          <w:sz w:val="32"/>
          <w:szCs w:val="20"/>
        </w:rPr>
      </w:pPr>
      <w:bookmarkStart w:id="4" w:name="OLE_LINK5"/>
      <w:bookmarkStart w:id="5" w:name="OLE_LINK6"/>
      <w:r>
        <w:rPr>
          <w:rFonts w:hint="eastAsia" w:ascii="宋体" w:hAnsi="宋体" w:eastAsia="方正仿宋_GBK" w:cs="宋体"/>
          <w:bCs/>
          <w:sz w:val="32"/>
        </w:rPr>
        <w:t>3.强化</w:t>
      </w:r>
      <w:r>
        <w:rPr>
          <w:rFonts w:hint="eastAsia" w:ascii="宋体" w:hAnsi="宋体" w:eastAsia="方正仿宋_GBK" w:cs="方正仿宋_GBK"/>
          <w:bCs/>
          <w:sz w:val="32"/>
        </w:rPr>
        <w:t>品牌运营，建设品牌文化。</w:t>
      </w:r>
      <w:bookmarkEnd w:id="4"/>
      <w:bookmarkEnd w:id="5"/>
      <w:r>
        <w:rPr>
          <w:rFonts w:hint="eastAsia" w:ascii="宋体" w:hAnsi="宋体" w:eastAsia="方正仿宋_GBK" w:cs="方正仿宋_GBK"/>
          <w:bCs/>
          <w:sz w:val="32"/>
        </w:rPr>
        <w:t>制定实施《企业商标品牌运营年度计划》，利用各类媒体媒介开展品牌宣传和广告投放，讲述品牌故事，树立品牌形象，不断提升商标品牌知名度、美誉度和影响力。加强商标品牌文化建设，丰富企业核心价值理念和文化内涵，塑造鲜明、独特、积极的品牌文化，提高品牌号召力、影响力和竞争力。坚持诚信合规经营，严守商业道德操守，积极开展公益服务，承担社会责任，加强公共关系建设，塑造良好企业形象。</w:t>
      </w:r>
    </w:p>
    <w:p w14:paraId="00B362B5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方正仿宋_GBK"/>
          <w:bCs/>
          <w:sz w:val="32"/>
        </w:rPr>
      </w:pPr>
      <w:bookmarkStart w:id="6" w:name="OLE_LINK8"/>
      <w:bookmarkStart w:id="7" w:name="OLE_LINK7"/>
      <w:r>
        <w:rPr>
          <w:rFonts w:hint="eastAsia" w:ascii="宋体" w:hAnsi="宋体" w:eastAsia="方正仿宋_GBK" w:cs="宋体"/>
          <w:bCs/>
          <w:sz w:val="32"/>
          <w:szCs w:val="32"/>
        </w:rPr>
        <w:t>4.</w:t>
      </w:r>
      <w:r>
        <w:rPr>
          <w:rFonts w:hint="eastAsia" w:ascii="宋体" w:hAnsi="宋体" w:eastAsia="方正仿宋_GBK" w:cs="方正仿宋_GBK"/>
          <w:bCs/>
          <w:sz w:val="32"/>
          <w:szCs w:val="32"/>
        </w:rPr>
        <w:t>坚持</w:t>
      </w:r>
      <w:r>
        <w:rPr>
          <w:rFonts w:hint="eastAsia" w:ascii="宋体" w:hAnsi="宋体" w:eastAsia="方正仿宋_GBK" w:cs="方正仿宋_GBK"/>
          <w:bCs/>
          <w:sz w:val="32"/>
        </w:rPr>
        <w:t>创新发展，提升产品质量。</w:t>
      </w:r>
      <w:bookmarkEnd w:id="6"/>
      <w:bookmarkEnd w:id="7"/>
      <w:r>
        <w:rPr>
          <w:rFonts w:hint="eastAsia" w:ascii="宋体" w:hAnsi="宋体" w:eastAsia="方正仿宋_GBK" w:cs="方正仿宋_GBK"/>
          <w:bCs/>
          <w:sz w:val="32"/>
        </w:rPr>
        <w:t>以市场为导向，以呼应和引领消费者需求为追求，持续推进生产过程创新、工艺创新、产品创新，加强服务创新和商业模式创新，有效运用知识产权制度保护创新成果，加强主营产品专利布局，开展专利密集型产品备案认定。积极参与行业各类标准制修订，增强行业话语权。建立健全涵盖全员、全过程、全方位、全生命周期的质量管理体系，规范生产流程，细化管理标准，确保产品和服务质量。</w:t>
      </w:r>
    </w:p>
    <w:p w14:paraId="382FEE99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方正仿宋_GBK"/>
          <w:bCs/>
          <w:sz w:val="32"/>
        </w:rPr>
      </w:pPr>
      <w:bookmarkStart w:id="8" w:name="OLE_LINK9"/>
      <w:bookmarkStart w:id="9" w:name="OLE_LINK10"/>
      <w:r>
        <w:rPr>
          <w:rFonts w:hint="eastAsia" w:ascii="宋体" w:hAnsi="宋体" w:eastAsia="方正仿宋_GBK" w:cs="方正仿宋_GBK"/>
          <w:bCs/>
          <w:sz w:val="32"/>
        </w:rPr>
        <w:t>5</w:t>
      </w:r>
      <w:r>
        <w:rPr>
          <w:rFonts w:hint="eastAsia" w:ascii="宋体" w:hAnsi="宋体" w:eastAsia="方正仿宋_GBK" w:cs="宋体"/>
          <w:bCs/>
          <w:sz w:val="32"/>
        </w:rPr>
        <w:t>.</w:t>
      </w:r>
      <w:r>
        <w:rPr>
          <w:rFonts w:hint="eastAsia" w:ascii="宋体" w:hAnsi="宋体" w:eastAsia="方正仿宋_GBK" w:cs="方正仿宋_GBK"/>
          <w:bCs/>
          <w:sz w:val="32"/>
        </w:rPr>
        <w:t>开展市场监测，加强商标维权。</w:t>
      </w:r>
      <w:bookmarkEnd w:id="8"/>
      <w:bookmarkEnd w:id="9"/>
      <w:r>
        <w:rPr>
          <w:rFonts w:hint="eastAsia" w:ascii="宋体" w:hAnsi="宋体" w:eastAsia="方正仿宋_GBK" w:cs="方正仿宋_GBK"/>
          <w:bCs/>
          <w:sz w:val="32"/>
        </w:rPr>
        <w:t>建立企业商标品牌动态监测机制，定期编制《商标品牌监测报告》。新产品上市前开展知识产权风险评估，形成风险评估报告。依法运用异议、无效宣告请求等制度，阻止商标抢注，积极应对商标侵权假冒，依法申请驰名商标认定和保护。向海关总署申请知识产权海关保护备案。建立商标品牌危机预警和紧急事件应对机制，制定商标品牌保护预案，及时处置商标品牌危机和紧急事件，维护品牌声誉。</w:t>
      </w:r>
    </w:p>
    <w:p w14:paraId="20696355">
      <w:pPr>
        <w:pStyle w:val="2"/>
        <w:spacing w:line="570" w:lineRule="exact"/>
        <w:rPr>
          <w:rFonts w:ascii="宋体" w:hAnsi="宋体" w:eastAsia="方正仿宋_GBK" w:cs="方正仿宋_GBK"/>
          <w:bCs/>
          <w:color w:val="auto"/>
          <w:sz w:val="32"/>
          <w:szCs w:val="22"/>
        </w:rPr>
      </w:pPr>
      <w:r>
        <w:rPr>
          <w:rFonts w:hint="eastAsia" w:ascii="宋体" w:hAnsi="宋体" w:eastAsia="方正仿宋_GBK" w:cs="方正仿宋_GBK"/>
          <w:bCs/>
          <w:color w:val="auto"/>
          <w:sz w:val="32"/>
          <w:szCs w:val="22"/>
        </w:rPr>
        <w:t>6.运用人工智能，提升品牌效能。围绕企业产品体系，利用AI辅助生成高辨识度的商标设计方案，优化商标布局。运用AI大数据研判产业发展方向、市场竞争格局及客户对产品采购的决策偏好，明晰产品市场定位，辅助企业制定商标品牌战略规划。运用</w:t>
      </w:r>
      <w:bookmarkStart w:id="10" w:name="OLE_LINK14"/>
      <w:bookmarkStart w:id="11" w:name="OLE_LINK13"/>
      <w:r>
        <w:rPr>
          <w:rFonts w:hint="eastAsia" w:ascii="宋体" w:hAnsi="宋体" w:eastAsia="方正仿宋_GBK" w:cs="方正仿宋_GBK"/>
          <w:bCs/>
          <w:color w:val="auto"/>
          <w:sz w:val="32"/>
          <w:szCs w:val="22"/>
        </w:rPr>
        <w:t>AI</w:t>
      </w:r>
      <w:bookmarkEnd w:id="10"/>
      <w:bookmarkEnd w:id="11"/>
      <w:r>
        <w:rPr>
          <w:rFonts w:hint="eastAsia" w:ascii="宋体" w:hAnsi="宋体" w:eastAsia="方正仿宋_GBK" w:cs="方正仿宋_GBK"/>
          <w:bCs/>
          <w:color w:val="auto"/>
          <w:sz w:val="32"/>
          <w:szCs w:val="22"/>
        </w:rPr>
        <w:t>赋能关键技术研发、材料筛选与工艺优化，以技术突破夯实品牌核心竞争力。将技术参数与性能优势转化为客户可感知的品牌价值表达，并通过统一规范的品牌信息供给，推动品牌在AI生成式引擎体系中优先“被引用、被信任、被推荐”，实现品牌内容的精准触达。利用AI技术建立商标侵权智能监测与海外布局预警体系，强化品牌权益保护。</w:t>
      </w:r>
    </w:p>
    <w:p w14:paraId="18EF20F9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楷体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楷体_GBK" w:cs="方正楷体_GBK"/>
          <w:bCs/>
          <w:sz w:val="32"/>
        </w:rPr>
        <w:t>（二）绩效目标</w:t>
      </w:r>
    </w:p>
    <w:p w14:paraId="1A0F4A5A">
      <w:pPr>
        <w:numPr>
          <w:ilvl w:val="0"/>
          <w:numId w:val="1"/>
        </w:num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bCs/>
          <w:sz w:val="32"/>
        </w:rPr>
      </w:pPr>
      <w:r>
        <w:rPr>
          <w:rFonts w:hint="eastAsia" w:ascii="宋体" w:hAnsi="宋体" w:eastAsia="方正仿宋_GBK" w:cs="方正仿宋_GBK"/>
          <w:bCs/>
          <w:sz w:val="32"/>
        </w:rPr>
        <w:t>实施期内，企业自主品牌产品销售额年均增长5%以上，产品销售范围扩展，市场占有率进一步提升。</w:t>
      </w:r>
    </w:p>
    <w:p w14:paraId="6B0C7E0C">
      <w:pPr>
        <w:numPr>
          <w:ilvl w:val="0"/>
          <w:numId w:val="1"/>
        </w:num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bCs/>
          <w:sz w:val="32"/>
        </w:rPr>
      </w:pPr>
      <w:r>
        <w:rPr>
          <w:rFonts w:hint="eastAsia" w:ascii="宋体" w:hAnsi="宋体" w:eastAsia="方正仿宋_GBK" w:cs="方正仿宋_GBK"/>
          <w:bCs/>
          <w:sz w:val="32"/>
        </w:rPr>
        <w:t>企业主要商标品牌价值明显提升，被认定为“江苏精品” “江苏省重点培育和发展的国际知名品牌”，或获得市级以上质量奖、质量奖提名奖，或进入“世界品牌</w:t>
      </w:r>
      <w:r>
        <w:rPr>
          <w:rFonts w:hint="eastAsia" w:ascii="宋体" w:hAnsi="宋体" w:eastAsia="方正仿宋_GBK" w:cs="宋体"/>
          <w:bCs/>
          <w:sz w:val="32"/>
        </w:rPr>
        <w:t>500</w:t>
      </w:r>
      <w:r>
        <w:rPr>
          <w:rFonts w:hint="eastAsia" w:ascii="宋体" w:hAnsi="宋体" w:eastAsia="方正仿宋_GBK" w:cs="方正仿宋_GBK"/>
          <w:bCs/>
          <w:sz w:val="32"/>
        </w:rPr>
        <w:t>强”等榜单，或获得驰名商标保护。</w:t>
      </w:r>
    </w:p>
    <w:p w14:paraId="38DD56A6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黑体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黑体_GBK" w:cs="方正黑体_GBK"/>
          <w:bCs/>
          <w:sz w:val="32"/>
        </w:rPr>
        <w:t>四、组织方式</w:t>
      </w:r>
    </w:p>
    <w:p w14:paraId="2DD84854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Cs/>
          <w:sz w:val="32"/>
        </w:rPr>
        <w:t>（一）</w:t>
      </w:r>
      <w:r>
        <w:rPr>
          <w:rFonts w:hint="eastAsia" w:ascii="宋体" w:hAnsi="宋体" w:eastAsia="方正仿宋_GBK" w:cs="方正仿宋_GBK"/>
          <w:bCs/>
          <w:snapToGrid w:val="0"/>
          <w:kern w:val="0"/>
          <w:sz w:val="32"/>
          <w:szCs w:val="20"/>
        </w:rPr>
        <w:t>申报单位</w:t>
      </w:r>
      <w:r>
        <w:rPr>
          <w:rFonts w:hint="eastAsia" w:ascii="宋体" w:hAnsi="宋体" w:eastAsia="方正仿宋_GBK" w:cs="方正仿宋_GBK"/>
          <w:bCs/>
          <w:sz w:val="32"/>
        </w:rPr>
        <w:t>根据要求准备申报材料，签订信用承诺书，按属地原则逐级上报。县（市、区）知识产权局具体负责辖区项目的组织受理和材料审核工作，出具推荐意见，报送至设区市知识产权局；设区市知识产权局进行初审，严格把关，择优推荐，统一报送省知识产权局。</w:t>
      </w:r>
    </w:p>
    <w:p w14:paraId="73D0C27D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方正仿宋_GBK"/>
          <w:bCs/>
          <w:sz w:val="32"/>
        </w:rPr>
      </w:pPr>
      <w:r>
        <w:rPr>
          <w:rFonts w:hint="eastAsia" w:ascii="宋体" w:hAnsi="宋体" w:eastAsia="方正仿宋_GBK" w:cs="方正仿宋_GBK"/>
          <w:bCs/>
          <w:sz w:val="32"/>
        </w:rPr>
        <w:t>（二）省知识产权局组织评审</w:t>
      </w:r>
      <w:bookmarkStart w:id="12" w:name="OLE_LINK11"/>
      <w:r>
        <w:rPr>
          <w:rFonts w:hint="eastAsia" w:ascii="宋体" w:hAnsi="宋体" w:eastAsia="方正仿宋_GBK" w:cs="方正仿宋_GBK"/>
          <w:bCs/>
          <w:sz w:val="32"/>
        </w:rPr>
        <w:t>，研究确定入库项目单位。</w:t>
      </w:r>
    </w:p>
    <w:p w14:paraId="304D6360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Cs/>
          <w:sz w:val="32"/>
        </w:rPr>
        <w:t>（三）项目实施期限为</w:t>
      </w:r>
      <w:r>
        <w:rPr>
          <w:rFonts w:hint="eastAsia" w:ascii="宋体" w:hAnsi="宋体" w:eastAsia="方正仿宋_GBK" w:cs="宋体"/>
          <w:bCs/>
          <w:sz w:val="32"/>
        </w:rPr>
        <w:t>2</w:t>
      </w:r>
      <w:r>
        <w:rPr>
          <w:rFonts w:hint="eastAsia" w:ascii="宋体" w:hAnsi="宋体" w:eastAsia="方正仿宋_GBK" w:cs="方正仿宋_GBK"/>
          <w:bCs/>
          <w:sz w:val="32"/>
        </w:rPr>
        <w:t>年，省知识产权局</w:t>
      </w:r>
      <w:r>
        <w:rPr>
          <w:rFonts w:hint="eastAsia" w:ascii="宋体" w:hAnsi="宋体" w:eastAsia="方正仿宋_GBK"/>
          <w:bCs/>
          <w:snapToGrid w:val="0"/>
          <w:kern w:val="0"/>
          <w:sz w:val="32"/>
          <w:szCs w:val="32"/>
        </w:rPr>
        <w:t>按有关规定组织中期检查和验收。</w:t>
      </w:r>
    </w:p>
    <w:bookmarkEnd w:id="12"/>
    <w:p w14:paraId="1462A702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黑体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黑体_GBK" w:cs="方正黑体_GBK"/>
          <w:bCs/>
          <w:sz w:val="32"/>
        </w:rPr>
        <w:t>五、申报要求</w:t>
      </w:r>
    </w:p>
    <w:p w14:paraId="712E9583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Cs/>
          <w:sz w:val="32"/>
        </w:rPr>
        <w:t>（一）正在承担省级其他知识产权计划项目（含尾款未拨付）的企业，不得申报本项目。</w:t>
      </w:r>
    </w:p>
    <w:p w14:paraId="0877C0DC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方正仿宋_GBK"/>
          <w:bCs/>
          <w:sz w:val="32"/>
        </w:rPr>
      </w:pPr>
      <w:r>
        <w:rPr>
          <w:rFonts w:hint="eastAsia" w:ascii="宋体" w:hAnsi="宋体" w:eastAsia="方正仿宋_GBK" w:cs="方正仿宋_GBK"/>
          <w:bCs/>
          <w:sz w:val="32"/>
        </w:rPr>
        <w:t>（二）各</w:t>
      </w:r>
      <w:r>
        <w:rPr>
          <w:rFonts w:hint="eastAsia" w:ascii="宋体" w:hAnsi="宋体" w:eastAsia="方正仿宋_GBK" w:cs="方正仿宋_GBK"/>
          <w:bCs/>
          <w:sz w:val="32"/>
          <w:szCs w:val="32"/>
        </w:rPr>
        <w:t>设区市推荐项目数不超过</w:t>
      </w:r>
      <w:r>
        <w:rPr>
          <w:rFonts w:hint="eastAsia" w:ascii="宋体" w:hAnsi="宋体" w:eastAsia="方正仿宋_GBK" w:cs="宋体"/>
          <w:bCs/>
          <w:snapToGrid w:val="0"/>
          <w:kern w:val="0"/>
          <w:sz w:val="32"/>
          <w:szCs w:val="32"/>
        </w:rPr>
        <w:t>3</w:t>
      </w:r>
      <w:r>
        <w:rPr>
          <w:rFonts w:hint="eastAsia" w:ascii="宋体" w:hAnsi="宋体" w:eastAsia="方正仿宋_GBK" w:cs="方正仿宋_GBK"/>
          <w:bCs/>
          <w:sz w:val="32"/>
          <w:szCs w:val="32"/>
        </w:rPr>
        <w:t>项。</w:t>
      </w:r>
    </w:p>
    <w:p w14:paraId="4DF924D8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Cs/>
          <w:sz w:val="32"/>
        </w:rPr>
        <w:t>（三）申报材料应真实、准确、规范，如发现弄虚作假、侵犯他人知识产权等行为的，一经查实，将取消项目</w:t>
      </w:r>
      <w:r>
        <w:rPr>
          <w:rFonts w:hint="eastAsia" w:ascii="宋体" w:hAnsi="宋体" w:eastAsia="方正仿宋_GBK" w:cs="方正仿宋_GBK"/>
          <w:bCs/>
          <w:sz w:val="32"/>
          <w:lang w:eastAsia="zh-CN"/>
        </w:rPr>
        <w:t>入库</w:t>
      </w:r>
      <w:r>
        <w:rPr>
          <w:rFonts w:hint="eastAsia" w:ascii="宋体" w:hAnsi="宋体" w:eastAsia="方正仿宋_GBK" w:cs="方正仿宋_GBK"/>
          <w:bCs/>
          <w:sz w:val="32"/>
        </w:rPr>
        <w:t>资格，并记入信用档案。各设区市、县（市、区）知识产权局要切实履行职责，对申报材料进行审查核对，确保内容真实可靠。</w:t>
      </w:r>
    </w:p>
    <w:p w14:paraId="690A5474">
      <w:pPr>
        <w:adjustRightInd w:val="0"/>
        <w:snapToGrid w:val="0"/>
        <w:spacing w:line="570" w:lineRule="exact"/>
        <w:ind w:firstLine="640" w:firstLineChars="200"/>
        <w:rPr>
          <w:rFonts w:ascii="宋体" w:hAnsi="宋体" w:eastAsia="方正仿宋_GBK"/>
          <w:bCs/>
          <w:sz w:val="32"/>
        </w:rPr>
      </w:pPr>
      <w:r>
        <w:rPr>
          <w:rFonts w:hint="eastAsia" w:ascii="宋体" w:hAnsi="宋体" w:eastAsia="方正仿宋_GBK" w:cs="方正仿宋_GBK"/>
          <w:bCs/>
          <w:sz w:val="32"/>
        </w:rPr>
        <w:t>（四）</w:t>
      </w:r>
      <w:r>
        <w:rPr>
          <w:rFonts w:hint="eastAsia" w:ascii="宋体" w:hAnsi="宋体" w:eastAsia="方正仿宋_GBK"/>
          <w:bCs/>
          <w:snapToGrid w:val="0"/>
          <w:kern w:val="0"/>
          <w:sz w:val="32"/>
          <w:szCs w:val="32"/>
        </w:rPr>
        <w:t>全面推行无纸化申报，申报单位</w:t>
      </w:r>
      <w:r>
        <w:rPr>
          <w:rFonts w:hint="eastAsia" w:ascii="宋体" w:hAnsi="宋体" w:eastAsia="方正仿宋_GBK"/>
          <w:bCs/>
          <w:sz w:val="32"/>
        </w:rPr>
        <w:t>登录“</w:t>
      </w:r>
      <w:r>
        <w:rPr>
          <w:rFonts w:hint="eastAsia" w:ascii="宋体" w:hAnsi="宋体" w:eastAsia="方正仿宋_GBK"/>
          <w:bCs/>
          <w:sz w:val="32"/>
          <w:szCs w:val="32"/>
        </w:rPr>
        <w:t>江苏省知识产权数智创新赋能平台</w:t>
      </w:r>
      <w:r>
        <w:rPr>
          <w:rFonts w:hint="eastAsia" w:ascii="宋体" w:hAnsi="宋体" w:eastAsia="方正仿宋_GBK"/>
          <w:bCs/>
          <w:sz w:val="32"/>
        </w:rPr>
        <w:t>”（https://www.jsipp.cn），通过“一站式管理——申报与管理”提交项目申报材料，信用承诺书签字盖章扫描后，以附件形式上传，其他附件材料应传尽传。</w:t>
      </w:r>
    </w:p>
    <w:p w14:paraId="61C23036">
      <w:pPr>
        <w:overflowPunct w:val="0"/>
        <w:autoSpaceDE w:val="0"/>
        <w:autoSpaceDN w:val="0"/>
        <w:snapToGrid w:val="0"/>
        <w:spacing w:line="570" w:lineRule="exact"/>
        <w:ind w:firstLine="624"/>
        <w:rPr>
          <w:rFonts w:ascii="宋体" w:hAnsi="宋体" w:eastAsia="方正仿宋_GBK" w:cs="方正仿宋_GBK"/>
          <w:bCs/>
          <w:sz w:val="32"/>
        </w:rPr>
      </w:pPr>
      <w:r>
        <w:rPr>
          <w:rFonts w:hint="eastAsia" w:ascii="宋体" w:hAnsi="宋体" w:eastAsia="方正仿宋_GBK" w:cs="方正仿宋_GBK"/>
          <w:bCs/>
          <w:sz w:val="32"/>
        </w:rPr>
        <w:t>（五）项目申报截止日期为</w:t>
      </w:r>
      <w:r>
        <w:rPr>
          <w:rFonts w:hint="eastAsia" w:ascii="宋体" w:hAnsi="宋体" w:eastAsia="方正仿宋_GBK" w:cs="宋体"/>
          <w:bCs/>
          <w:sz w:val="32"/>
          <w:szCs w:val="32"/>
        </w:rPr>
        <w:t>2026</w:t>
      </w:r>
      <w:r>
        <w:rPr>
          <w:rFonts w:hint="eastAsia" w:ascii="宋体" w:hAnsi="宋体" w:eastAsia="方正仿宋_GBK" w:cs="方正仿宋_GBK"/>
          <w:bCs/>
          <w:sz w:val="32"/>
          <w:szCs w:val="32"/>
        </w:rPr>
        <w:t>年</w:t>
      </w:r>
      <w:r>
        <w:rPr>
          <w:rFonts w:hint="eastAsia" w:ascii="宋体" w:hAnsi="宋体" w:eastAsia="方正仿宋_GBK" w:cs="方正仿宋_GBK"/>
          <w:bCs/>
          <w:sz w:val="32"/>
          <w:szCs w:val="32"/>
          <w:lang w:val="en-US" w:eastAsia="zh-CN"/>
        </w:rPr>
        <w:t>5</w:t>
      </w:r>
      <w:r>
        <w:rPr>
          <w:rFonts w:hint="eastAsia" w:ascii="宋体" w:hAnsi="宋体" w:eastAsia="方正仿宋_GBK" w:cs="方正仿宋_GBK"/>
          <w:bCs/>
          <w:sz w:val="32"/>
          <w:szCs w:val="32"/>
        </w:rPr>
        <w:t>月</w:t>
      </w:r>
      <w:r>
        <w:rPr>
          <w:rFonts w:hint="eastAsia" w:ascii="宋体" w:hAnsi="宋体" w:eastAsia="方正仿宋_GBK" w:cs="方正仿宋_GBK"/>
          <w:bCs/>
          <w:sz w:val="32"/>
          <w:szCs w:val="32"/>
          <w:lang w:val="en-US" w:eastAsia="zh-CN"/>
        </w:rPr>
        <w:t>31</w:t>
      </w:r>
      <w:r>
        <w:rPr>
          <w:rFonts w:hint="eastAsia" w:ascii="宋体" w:hAnsi="宋体" w:eastAsia="方正仿宋_GBK" w:cs="方正仿宋_GBK"/>
          <w:bCs/>
          <w:sz w:val="32"/>
          <w:szCs w:val="32"/>
        </w:rPr>
        <w:t>日</w:t>
      </w:r>
      <w:r>
        <w:rPr>
          <w:rFonts w:hint="eastAsia" w:ascii="宋体" w:hAnsi="宋体" w:eastAsia="方正仿宋_GBK" w:cs="方正仿宋_GBK"/>
          <w:bCs/>
          <w:sz w:val="32"/>
        </w:rPr>
        <w:t>。</w:t>
      </w:r>
    </w:p>
    <w:p w14:paraId="5E3701B6">
      <w:pPr>
        <w:pStyle w:val="2"/>
        <w:rPr>
          <w:bCs/>
        </w:rPr>
      </w:pPr>
    </w:p>
    <w:p w14:paraId="1424E0E5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宋体" w:hAnsi="宋体" w:eastAsia="方正仿宋_GBK" w:cs="宋体"/>
          <w:bCs/>
          <w:kern w:val="0"/>
          <w:sz w:val="32"/>
          <w:szCs w:val="20"/>
        </w:rPr>
      </w:pPr>
      <w:r>
        <w:rPr>
          <w:rFonts w:hint="eastAsia" w:ascii="宋体" w:hAnsi="宋体" w:eastAsia="方正仿宋_GBK" w:cs="方正仿宋_GBK"/>
          <w:bCs/>
          <w:sz w:val="32"/>
        </w:rPr>
        <w:t>联系人：</w:t>
      </w:r>
      <w:r>
        <w:rPr>
          <w:rFonts w:hint="eastAsia" w:ascii="宋体" w:hAnsi="宋体" w:eastAsia="方正仿宋_GBK" w:cs="方正仿宋_GBK"/>
          <w:bCs/>
          <w:sz w:val="32"/>
          <w:szCs w:val="32"/>
        </w:rPr>
        <w:t>省知识产权局产业促进处</w:t>
      </w:r>
      <w:r>
        <w:rPr>
          <w:rFonts w:hint="eastAsia" w:ascii="宋体" w:hAnsi="宋体" w:eastAsia="方正仿宋_GBK" w:cs="宋体"/>
          <w:bCs/>
          <w:sz w:val="32"/>
          <w:szCs w:val="32"/>
        </w:rPr>
        <w:t xml:space="preserve">  </w:t>
      </w:r>
      <w:r>
        <w:rPr>
          <w:rFonts w:hint="eastAsia" w:ascii="宋体" w:hAnsi="宋体" w:eastAsia="方正仿宋_GBK" w:cs="方正仿宋_GBK"/>
          <w:bCs/>
          <w:sz w:val="32"/>
          <w:szCs w:val="32"/>
        </w:rPr>
        <w:t>徐长春</w:t>
      </w:r>
    </w:p>
    <w:p w14:paraId="13DB97AC">
      <w:pPr>
        <w:overflowPunct w:val="0"/>
        <w:autoSpaceDE w:val="0"/>
        <w:autoSpaceDN w:val="0"/>
        <w:snapToGrid w:val="0"/>
        <w:spacing w:line="570" w:lineRule="exact"/>
        <w:ind w:firstLine="640" w:firstLineChars="200"/>
        <w:rPr>
          <w:rFonts w:ascii="Times New Roman" w:hAnsi="Times New Roman" w:eastAsia="方正仿宋_GBK"/>
          <w:bCs/>
          <w:sz w:val="32"/>
        </w:rPr>
      </w:pPr>
      <w:r>
        <w:rPr>
          <w:rFonts w:hint="eastAsia" w:ascii="宋体" w:hAnsi="宋体" w:eastAsia="方正仿宋_GBK" w:cs="方正仿宋_GBK"/>
          <w:bCs/>
          <w:sz w:val="32"/>
        </w:rPr>
        <w:t>电</w:t>
      </w:r>
      <w:r>
        <w:rPr>
          <w:rFonts w:hint="eastAsia" w:ascii="宋体" w:hAnsi="宋体" w:eastAsia="方正仿宋_GBK" w:cs="宋体"/>
          <w:bCs/>
          <w:sz w:val="32"/>
        </w:rPr>
        <w:t xml:space="preserve">  </w:t>
      </w:r>
      <w:r>
        <w:rPr>
          <w:rFonts w:hint="eastAsia" w:ascii="宋体" w:hAnsi="宋体" w:eastAsia="方正仿宋_GBK" w:cs="方正仿宋_GBK"/>
          <w:bCs/>
          <w:sz w:val="32"/>
        </w:rPr>
        <w:t>话：</w:t>
      </w:r>
      <w:r>
        <w:rPr>
          <w:rFonts w:hint="eastAsia" w:ascii="宋体" w:hAnsi="宋体" w:eastAsia="方正仿宋_GBK" w:cs="宋体"/>
          <w:bCs/>
          <w:sz w:val="32"/>
        </w:rPr>
        <w:t>025-83236375</w:t>
      </w:r>
    </w:p>
    <w:p w14:paraId="2154D769">
      <w:pPr>
        <w:overflowPunct w:val="0"/>
        <w:autoSpaceDE w:val="0"/>
        <w:autoSpaceDN w:val="0"/>
        <w:snapToGrid w:val="0"/>
        <w:spacing w:line="600" w:lineRule="exact"/>
        <w:ind w:firstLine="624"/>
        <w:jc w:val="left"/>
        <w:rPr>
          <w:rFonts w:ascii="Times New Roman" w:hAnsi="Times New Roman" w:eastAsia="方正仿宋_GBK"/>
          <w:bCs/>
          <w:sz w:val="32"/>
        </w:rPr>
      </w:pPr>
    </w:p>
    <w:p w14:paraId="06B09328">
      <w:pPr>
        <w:rPr>
          <w:bCs/>
        </w:rPr>
      </w:pPr>
    </w:p>
    <w:p w14:paraId="16CB8EEC">
      <w:pPr>
        <w:widowControl/>
        <w:jc w:val="left"/>
        <w:rPr>
          <w:bCs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F4B4834-DA4B-48E9-92D6-0D4932BED3D7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68A1957D-EA94-4C23-9597-E2455A46FF9C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481FFB62-E1C6-4D28-B432-30602E929748}"/>
  </w:font>
  <w:font w:name="方正黑体_GBK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4" w:fontKey="{2588D36C-5EA6-42E7-9DDD-33511E6EFA1A}"/>
  </w:font>
  <w:font w:name="方正楷体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5" w:fontKey="{E1E00CBE-6754-4E9D-A034-9FDB3AD5D34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196A230">
    <w:pPr>
      <w:pStyle w:val="5"/>
      <w:wordWrap w:val="0"/>
      <w:jc w:val="right"/>
      <w:rPr>
        <w:rFonts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w:t xml:space="preserve">— </w:t>
    </w:r>
    <w:r>
      <w:rPr>
        <w:rFonts w:hint="eastAsia" w:ascii="宋体" w:hAnsi="宋体" w:cs="宋体"/>
        <w:sz w:val="28"/>
        <w:szCs w:val="28"/>
      </w:rPr>
      <w:fldChar w:fldCharType="begin"/>
    </w:r>
    <w:r>
      <w:rPr>
        <w:rFonts w:hint="eastAsia" w:ascii="宋体" w:hAnsi="宋体" w:cs="宋体"/>
        <w:sz w:val="28"/>
        <w:szCs w:val="28"/>
      </w:rPr>
      <w:instrText xml:space="preserve"> PAGE  \* MERGEFORMAT </w:instrText>
    </w:r>
    <w:r>
      <w:rPr>
        <w:rFonts w:hint="eastAsia" w:ascii="宋体" w:hAnsi="宋体" w:cs="宋体"/>
        <w:sz w:val="28"/>
        <w:szCs w:val="28"/>
      </w:rPr>
      <w:fldChar w:fldCharType="separate"/>
    </w:r>
    <w:r>
      <w:rPr>
        <w:rFonts w:ascii="宋体" w:hAnsi="宋体" w:cs="宋体"/>
        <w:sz w:val="28"/>
        <w:szCs w:val="28"/>
      </w:rPr>
      <w:t>1</w:t>
    </w:r>
    <w:r>
      <w:rPr>
        <w:rFonts w:hint="eastAsia" w:ascii="宋体" w:hAnsi="宋体" w:cs="宋体"/>
        <w:sz w:val="28"/>
        <w:szCs w:val="28"/>
      </w:rPr>
      <w:fldChar w:fldCharType="end"/>
    </w:r>
    <w:r>
      <w:rPr>
        <w:rFonts w:hint="eastAsia" w:ascii="宋体" w:hAnsi="宋体" w:cs="宋体"/>
        <w:sz w:val="28"/>
        <w:szCs w:val="28"/>
      </w:rPr>
      <w:t xml:space="preserve"> —  </w:t>
    </w:r>
  </w:p>
  <w:p w14:paraId="482F06B4">
    <w:pPr>
      <w:pStyle w:val="5"/>
      <w:jc w:val="right"/>
      <w:rPr>
        <w:rFonts w:ascii="宋体" w:hAnsi="宋体" w:cs="宋体"/>
        <w:sz w:val="28"/>
        <w:szCs w:val="28"/>
      </w:rPr>
    </w:pPr>
  </w:p>
  <w:p w14:paraId="37AD452A">
    <w:pPr>
      <w:pStyle w:val="5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7081ED">
    <w:pPr>
      <w:pStyle w:val="5"/>
      <w:ind w:firstLine="280" w:firstLineChars="100"/>
      <w:rPr>
        <w:rFonts w:ascii="宋体" w:hAnsi="宋体" w:cs="宋体"/>
        <w:sz w:val="28"/>
        <w:szCs w:val="28"/>
      </w:rPr>
    </w:pPr>
    <w:r>
      <w:rPr>
        <w:rFonts w:hint="eastAsia" w:ascii="宋体" w:hAnsi="宋体" w:cs="宋体"/>
        <w:sz w:val="28"/>
        <w:szCs w:val="28"/>
      </w:rPr>
      <w:t xml:space="preserve">— </w:t>
    </w:r>
    <w:r>
      <w:rPr>
        <w:rFonts w:hint="eastAsia" w:ascii="宋体" w:hAnsi="宋体" w:cs="宋体"/>
        <w:sz w:val="28"/>
        <w:szCs w:val="28"/>
      </w:rPr>
      <w:fldChar w:fldCharType="begin"/>
    </w:r>
    <w:r>
      <w:rPr>
        <w:rFonts w:hint="eastAsia" w:ascii="宋体" w:hAnsi="宋体" w:cs="宋体"/>
        <w:sz w:val="28"/>
        <w:szCs w:val="28"/>
      </w:rPr>
      <w:instrText xml:space="preserve"> PAGE  \* MERGEFORMAT </w:instrText>
    </w:r>
    <w:r>
      <w:rPr>
        <w:rFonts w:hint="eastAsia" w:ascii="宋体" w:hAnsi="宋体" w:cs="宋体"/>
        <w:sz w:val="28"/>
        <w:szCs w:val="28"/>
      </w:rPr>
      <w:fldChar w:fldCharType="separate"/>
    </w:r>
    <w:r>
      <w:rPr>
        <w:rFonts w:ascii="宋体" w:hAnsi="宋体" w:cs="宋体"/>
        <w:sz w:val="28"/>
        <w:szCs w:val="28"/>
      </w:rPr>
      <w:t>2</w:t>
    </w:r>
    <w:r>
      <w:rPr>
        <w:rFonts w:hint="eastAsia" w:ascii="宋体" w:hAnsi="宋体" w:cs="宋体"/>
        <w:sz w:val="28"/>
        <w:szCs w:val="28"/>
      </w:rPr>
      <w:fldChar w:fldCharType="end"/>
    </w:r>
    <w:r>
      <w:rPr>
        <w:rFonts w:hint="eastAsia" w:ascii="宋体" w:hAnsi="宋体" w:cs="宋体"/>
        <w:sz w:val="28"/>
        <w:szCs w:val="28"/>
      </w:rPr>
      <w:t xml:space="preserve"> —</w:t>
    </w:r>
  </w:p>
  <w:p w14:paraId="4EDFAEFA">
    <w:pPr>
      <w:pStyle w:val="5"/>
      <w:ind w:firstLine="280" w:firstLineChars="100"/>
      <w:rPr>
        <w:rFonts w:ascii="宋体" w:hAnsi="宋体" w:cs="宋体"/>
        <w:sz w:val="28"/>
        <w:szCs w:val="28"/>
      </w:rPr>
    </w:pPr>
  </w:p>
  <w:p w14:paraId="6B50C940"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97E436E"/>
    <w:multiLevelType w:val="multilevel"/>
    <w:tmpl w:val="097E436E"/>
    <w:lvl w:ilvl="0" w:tentative="0">
      <w:start w:val="1"/>
      <w:numFmt w:val="decimal"/>
      <w:suff w:val="nothing"/>
      <w:lvlText w:val="%1．"/>
      <w:lvlJc w:val="left"/>
      <w:pPr>
        <w:tabs>
          <w:tab w:val="left" w:pos="0"/>
        </w:tabs>
        <w:ind w:left="0" w:firstLine="40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74069"/>
    <w:rsid w:val="000403A0"/>
    <w:rsid w:val="00056D5B"/>
    <w:rsid w:val="00071D6D"/>
    <w:rsid w:val="000E46C1"/>
    <w:rsid w:val="0015511E"/>
    <w:rsid w:val="00164987"/>
    <w:rsid w:val="001D371F"/>
    <w:rsid w:val="0026673D"/>
    <w:rsid w:val="002E02FC"/>
    <w:rsid w:val="00340948"/>
    <w:rsid w:val="0034744D"/>
    <w:rsid w:val="00494D05"/>
    <w:rsid w:val="005770AF"/>
    <w:rsid w:val="005B3EBD"/>
    <w:rsid w:val="005D5C57"/>
    <w:rsid w:val="005D65E5"/>
    <w:rsid w:val="005E56D0"/>
    <w:rsid w:val="005E6615"/>
    <w:rsid w:val="00635E6D"/>
    <w:rsid w:val="00673BC7"/>
    <w:rsid w:val="00683A6B"/>
    <w:rsid w:val="006B6B93"/>
    <w:rsid w:val="007065F4"/>
    <w:rsid w:val="00744422"/>
    <w:rsid w:val="007F00B7"/>
    <w:rsid w:val="00811CA1"/>
    <w:rsid w:val="00812A73"/>
    <w:rsid w:val="00961F76"/>
    <w:rsid w:val="009849E4"/>
    <w:rsid w:val="009D6F17"/>
    <w:rsid w:val="009E09C0"/>
    <w:rsid w:val="00A45A33"/>
    <w:rsid w:val="00A54079"/>
    <w:rsid w:val="00A62634"/>
    <w:rsid w:val="00A834C0"/>
    <w:rsid w:val="00A92C7C"/>
    <w:rsid w:val="00AA32B1"/>
    <w:rsid w:val="00AB1770"/>
    <w:rsid w:val="00AB1A4A"/>
    <w:rsid w:val="00B56805"/>
    <w:rsid w:val="00B72D28"/>
    <w:rsid w:val="00BC7C5E"/>
    <w:rsid w:val="00BE29A0"/>
    <w:rsid w:val="00C2577A"/>
    <w:rsid w:val="00C33513"/>
    <w:rsid w:val="00C81D39"/>
    <w:rsid w:val="00C91F8B"/>
    <w:rsid w:val="00CC580A"/>
    <w:rsid w:val="00D15291"/>
    <w:rsid w:val="00D24246"/>
    <w:rsid w:val="00D34950"/>
    <w:rsid w:val="00D93C89"/>
    <w:rsid w:val="00E20AFF"/>
    <w:rsid w:val="00E34786"/>
    <w:rsid w:val="00E85219"/>
    <w:rsid w:val="00ED1990"/>
    <w:rsid w:val="00EF58A6"/>
    <w:rsid w:val="00F4262D"/>
    <w:rsid w:val="00FF036F"/>
    <w:rsid w:val="02240336"/>
    <w:rsid w:val="0AA05A99"/>
    <w:rsid w:val="13F14683"/>
    <w:rsid w:val="16D31CEE"/>
    <w:rsid w:val="18CA243B"/>
    <w:rsid w:val="195359C7"/>
    <w:rsid w:val="1A2F7916"/>
    <w:rsid w:val="21F32B83"/>
    <w:rsid w:val="23415007"/>
    <w:rsid w:val="24167111"/>
    <w:rsid w:val="26136308"/>
    <w:rsid w:val="2BB323AB"/>
    <w:rsid w:val="2DE20EF9"/>
    <w:rsid w:val="2F0B58B2"/>
    <w:rsid w:val="30917746"/>
    <w:rsid w:val="309E2B7C"/>
    <w:rsid w:val="3157736A"/>
    <w:rsid w:val="349210A4"/>
    <w:rsid w:val="364F50ED"/>
    <w:rsid w:val="38AB1707"/>
    <w:rsid w:val="3CB414AF"/>
    <w:rsid w:val="3CF974A0"/>
    <w:rsid w:val="414B5D68"/>
    <w:rsid w:val="49217401"/>
    <w:rsid w:val="4A4E7402"/>
    <w:rsid w:val="5A181054"/>
    <w:rsid w:val="5BA74069"/>
    <w:rsid w:val="625C2676"/>
    <w:rsid w:val="63CB6C83"/>
    <w:rsid w:val="64792204"/>
    <w:rsid w:val="6D1645A4"/>
    <w:rsid w:val="6E20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qFormat/>
    <w:uiPriority w:val="99"/>
    <w:pPr>
      <w:widowControl w:val="0"/>
      <w:spacing w:line="351" w:lineRule="atLeast"/>
      <w:ind w:firstLine="623"/>
      <w:jc w:val="both"/>
      <w:textAlignment w:val="baseline"/>
    </w:pPr>
    <w:rPr>
      <w:rFonts w:ascii="等线" w:hAnsi="等线" w:eastAsia="仿宋_GB2312" w:cs="等线"/>
      <w:color w:val="000000"/>
      <w:kern w:val="2"/>
      <w:sz w:val="31"/>
      <w:lang w:val="en-US" w:eastAsia="zh-CN" w:bidi="ar-SA"/>
    </w:r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Balloon Text"/>
    <w:basedOn w:val="1"/>
    <w:link w:val="12"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annotation reference"/>
    <w:basedOn w:val="8"/>
    <w:qFormat/>
    <w:uiPriority w:val="0"/>
    <w:rPr>
      <w:sz w:val="21"/>
      <w:szCs w:val="21"/>
    </w:rPr>
  </w:style>
  <w:style w:type="paragraph" w:customStyle="1" w:styleId="10">
    <w:name w:val="修订1"/>
    <w:hidden/>
    <w:unhideWhenUsed/>
    <w:qFormat/>
    <w:uiPriority w:val="99"/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customStyle="1" w:styleId="11">
    <w:name w:val="页眉 Char"/>
    <w:basedOn w:val="8"/>
    <w:link w:val="6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2">
    <w:name w:val="批注框文本 Char"/>
    <w:basedOn w:val="8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2140</Words>
  <Characters>2193</Characters>
  <Lines>16</Lines>
  <Paragraphs>4</Paragraphs>
  <TotalTime>19</TotalTime>
  <ScaleCrop>false</ScaleCrop>
  <LinksUpToDate>false</LinksUpToDate>
  <CharactersWithSpaces>2198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2024-12-04T06:44:00Z</dcterms:created>
  <dc:creator>1</dc:creator>
  <cp:lastModifiedBy>linrong</cp:lastModifiedBy>
  <cp:lastPrinted>2026-04-27T00:48:00Z</cp:lastPrinted>
  <dcterms:modified xsi:type="dcterms:W3CDTF">2026-04-29T09:34:27Z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EB992CAF74A04B2296CA01316C8091A2_13</vt:lpwstr>
  </property>
  <property fmtid="{D5CDD505-2E9C-101B-9397-08002B2CF9AE}" pid="4" name="KSOTemplateDocerSaveRecord">
    <vt:lpwstr>eyJoZGlkIjoiNWRiOTIxODc5MDQzOTY1MThlNmNmMTA4ZjE4NzM2NWYiLCJ1c2VySWQiOiIxNTY4NDkwMDg3In0=</vt:lpwstr>
  </property>
</Properties>
</file>