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FA" w:rsidRDefault="00F86FFA" w:rsidP="00F86FFA">
      <w:pPr>
        <w:pStyle w:val="1"/>
        <w:rPr>
          <w:rFonts w:ascii="宋体" w:hAnsi="宋体"/>
        </w:rPr>
      </w:pPr>
      <w:r>
        <w:rPr>
          <w:rFonts w:ascii="方正小标宋_GBK" w:hAnsi="方正小标宋_GBK" w:cs="方正小标宋_GBK" w:hint="eastAsia"/>
        </w:rPr>
        <w:t>江苏省2025年度知识产权全链条保护</w:t>
      </w:r>
      <w:r>
        <w:rPr>
          <w:rFonts w:ascii="方正小标宋_GBK" w:hAnsi="方正小标宋_GBK" w:cs="方正小标宋_GBK" w:hint="eastAsia"/>
        </w:rPr>
        <w:br/>
        <w:t>“微改</w:t>
      </w:r>
      <w:r>
        <w:rPr>
          <w:rFonts w:ascii="宋体" w:hAnsi="宋体" w:hint="eastAsia"/>
        </w:rPr>
        <w:t>革”项目实施清单</w:t>
      </w:r>
    </w:p>
    <w:tbl>
      <w:tblPr>
        <w:tblW w:w="13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2"/>
        <w:gridCol w:w="596"/>
        <w:gridCol w:w="1352"/>
        <w:gridCol w:w="6206"/>
        <w:gridCol w:w="3184"/>
      </w:tblGrid>
      <w:tr w:rsidR="00F86FFA" w:rsidTr="00B36186">
        <w:trPr>
          <w:cantSplit/>
          <w:trHeight w:val="675"/>
          <w:tblHeader/>
          <w:jc w:val="center"/>
        </w:trPr>
        <w:tc>
          <w:tcPr>
            <w:tcW w:w="170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ascii="方正黑体_GBK" w:eastAsia="方正黑体_GBK" w:hAnsi="方正黑体_GBK" w:cs="Calibri"/>
                <w:color w:val="000000"/>
              </w:rPr>
            </w:pPr>
            <w:proofErr w:type="gramStart"/>
            <w:r>
              <w:rPr>
                <w:rFonts w:ascii="方正黑体_GBK" w:eastAsia="方正黑体_GBK" w:hAnsi="方正黑体_GBK" w:cs="Calibri" w:hint="eastAsia"/>
                <w:color w:val="000000"/>
              </w:rPr>
              <w:t>微改革</w:t>
            </w:r>
            <w:proofErr w:type="gramEnd"/>
            <w:r>
              <w:rPr>
                <w:rFonts w:ascii="方正黑体_GBK" w:eastAsia="方正黑体_GBK" w:hAnsi="方正黑体_GBK" w:cs="Calibri" w:hint="eastAsia"/>
                <w:color w:val="000000"/>
              </w:rPr>
              <w:t>事项</w:t>
            </w: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ascii="方正黑体_GBK" w:eastAsia="方正黑体_GBK" w:hAnsi="方正黑体_GBK" w:cs="Calibri"/>
                <w:color w:val="000000"/>
              </w:rPr>
            </w:pPr>
            <w:r>
              <w:rPr>
                <w:rFonts w:ascii="方正黑体_GBK" w:eastAsia="方正黑体_GBK" w:hAnsi="方正黑体_GBK" w:cs="Calibri" w:hint="eastAsia"/>
                <w:color w:val="000000"/>
              </w:rPr>
              <w:t>序号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ascii="方正黑体_GBK" w:eastAsia="方正黑体_GBK" w:hAnsi="方正黑体_GBK" w:cs="Calibri"/>
                <w:color w:val="000000"/>
              </w:rPr>
            </w:pPr>
            <w:r>
              <w:rPr>
                <w:rFonts w:ascii="方正黑体_GBK" w:eastAsia="方正黑体_GBK" w:hAnsi="方正黑体_GBK" w:cs="Calibri" w:hint="eastAsia"/>
                <w:color w:val="000000"/>
              </w:rPr>
              <w:t>项目名称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ascii="方正黑体_GBK" w:eastAsia="方正黑体_GBK" w:hAnsi="方正黑体_GBK" w:cs="Calibri"/>
                <w:color w:val="000000"/>
              </w:rPr>
            </w:pPr>
            <w:r>
              <w:rPr>
                <w:rFonts w:ascii="方正黑体_GBK" w:eastAsia="方正黑体_GBK" w:hAnsi="方正黑体_GBK" w:cs="Calibri" w:hint="eastAsia"/>
                <w:color w:val="000000"/>
              </w:rPr>
              <w:t>项目内容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ascii="方正黑体_GBK" w:eastAsia="方正黑体_GBK" w:hAnsi="方正黑体_GBK" w:cs="Calibri"/>
                <w:color w:val="000000"/>
              </w:rPr>
            </w:pPr>
            <w:r>
              <w:rPr>
                <w:rFonts w:ascii="方正黑体_GBK" w:eastAsia="方正黑体_GBK" w:hAnsi="方正黑体_GBK" w:cs="Calibri" w:hint="eastAsia"/>
                <w:color w:val="000000"/>
              </w:rPr>
              <w:t>项目实施单位</w:t>
            </w:r>
          </w:p>
        </w:tc>
      </w:tr>
      <w:tr w:rsidR="00F86FFA" w:rsidTr="00B36186">
        <w:trPr>
          <w:cantSplit/>
          <w:trHeight w:val="2620"/>
          <w:jc w:val="center"/>
        </w:trPr>
        <w:tc>
          <w:tcPr>
            <w:tcW w:w="170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加强涉外知识产权保护</w:t>
            </w: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1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跨境电商知识产权保护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搭建跨境电商知识产权风险预警系统，对店铺名称、</w:t>
            </w:r>
            <w:r>
              <w:rPr>
                <w:rFonts w:eastAsia="方正仿宋_GBK" w:cs="方正仿宋_GBK" w:hint="eastAsia"/>
                <w:bCs/>
                <w:color w:val="000000"/>
              </w:rPr>
              <w:t>Logo</w:t>
            </w:r>
            <w:r>
              <w:rPr>
                <w:rFonts w:eastAsia="方正仿宋_GBK" w:cs="方正仿宋_GBK" w:hint="eastAsia"/>
                <w:bCs/>
                <w:color w:val="000000"/>
              </w:rPr>
              <w:t>、产品包装、产品外观等开展风险排查，建立分级响应机制，提供应对指导；与商务部门联动，建立跨境电商企业分级管理库，建立沟通联络机制，定期分类组织专题培训；推动跨境电商企业互联互助，开展分享交流活动；组建维权援助专家团队，引导支持企业开展境外商标注册、专利申请、国际认证，推动企业出海知识产权合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规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管理。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苏州市相城区知识产权局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苏州市吴江区知识产权局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盐城市亭湖区知识产权局</w:t>
            </w:r>
          </w:p>
        </w:tc>
      </w:tr>
      <w:tr w:rsidR="00F86FFA" w:rsidTr="00B36186">
        <w:trPr>
          <w:cantSplit/>
          <w:trHeight w:val="2489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2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海外知识产权维权网络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推动海外知识产权纠纷应对指导地方分中心向基层延伸，打造“风险防控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案件监测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应对指导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意识提升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资源汇聚”五位一体海外维权工作体系。建设海外知识产权风险监测数据库，对重点企业开展海外商标抢注、专利侵权诉讼、竞争对手追踪等监测服务。组建海外维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权指导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专家团队，提供法律咨询、维权方案设计、国际诉讼支持等服务。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苏州市知识产权局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泰州市知识产权局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无锡高新区（新吴区）知识产权局</w:t>
            </w:r>
          </w:p>
        </w:tc>
      </w:tr>
      <w:tr w:rsidR="00F86FFA" w:rsidTr="00B36186">
        <w:trPr>
          <w:cantSplit/>
          <w:trHeight w:val="1863"/>
          <w:jc w:val="center"/>
        </w:trPr>
        <w:tc>
          <w:tcPr>
            <w:tcW w:w="170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lastRenderedPageBreak/>
              <w:t>提升专利行政裁决效能</w:t>
            </w: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3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推进执法力量下沉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推动设立知识产权行政裁决所，抽调培养专利知识精、法律业务能力强的执法人员，建立相对独立稳定的专利行政裁决队伍。在基层分局设立知识产权保护工作站，开设专利行政裁决立案服务窗口，构建“基层受理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区级裁决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省市指导”的工作格局。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苏州市知识产权局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常州高新区（新北区）知识产权局</w:t>
            </w:r>
          </w:p>
        </w:tc>
      </w:tr>
      <w:tr w:rsidR="00F86FFA" w:rsidTr="00B36186">
        <w:trPr>
          <w:cantSplit/>
          <w:trHeight w:val="2004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4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行政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裁决简案快办</w:t>
            </w:r>
            <w:proofErr w:type="gramEnd"/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建立“简案快办”机制，面向基本事实清楚、证据确凿、权利义务关系明确的专利侵权纠纷行政裁决案件，试点开展知识产权行政裁决简易程序，充分发挥知识产权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快维中心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专利权评价报告预审试点成果，进一步缩减行政裁决办案周期。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无锡市知识产权局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南通市知识产权局</w:t>
            </w:r>
          </w:p>
        </w:tc>
      </w:tr>
      <w:tr w:rsidR="00F86FFA" w:rsidTr="00B36186">
        <w:trPr>
          <w:cantSplit/>
          <w:trHeight w:val="675"/>
          <w:jc w:val="center"/>
        </w:trPr>
        <w:tc>
          <w:tcPr>
            <w:tcW w:w="170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深化知识产权行政司法保护协同</w:t>
            </w: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5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深化知识产权行刑衔接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强化法院、检察院、公安、市场监管、知识产权等部门协同保护机制，打通跨部门数据壁垒，推动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助企维权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打假中心、公安知识产权保护联勤工作站等线下阵地协作联动。对于重大疑难案件检察机关提前介入，设立“刑事立案建议权”，对于恶意侵权案件直接移送公安机关。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无锡市江阴市知识产权局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南通市通州区知识产权局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盐城市建湖县知识产权局</w:t>
            </w:r>
          </w:p>
        </w:tc>
      </w:tr>
      <w:tr w:rsidR="00F86FFA" w:rsidTr="00B36186">
        <w:trPr>
          <w:cantSplit/>
          <w:trHeight w:val="675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after="0" w:line="360" w:lineRule="exact"/>
              <w:jc w:val="center"/>
              <w:textAlignment w:val="center"/>
              <w:rPr>
                <w:rFonts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6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畅通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知识产权诉调对接</w:t>
            </w:r>
            <w:proofErr w:type="gramEnd"/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建立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知识产权诉调对接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中心，推行知识产权纠纷调解员制度，提高调解专业化水平，简化调解程序，制定“行政调解</w:t>
            </w:r>
            <w:r>
              <w:rPr>
                <w:rFonts w:eastAsia="方正仿宋_GBK" w:cs="方正仿宋_GBK" w:hint="eastAsia"/>
                <w:bCs/>
                <w:color w:val="000000"/>
              </w:rPr>
              <w:t>+</w:t>
            </w:r>
            <w:r>
              <w:rPr>
                <w:rFonts w:eastAsia="方正仿宋_GBK" w:cs="方正仿宋_GBK" w:hint="eastAsia"/>
                <w:bCs/>
                <w:color w:val="000000"/>
              </w:rPr>
              <w:t>司法确认”操作规程，形成“案件预检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调解指导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司法确认</w:t>
            </w:r>
            <w:r>
              <w:rPr>
                <w:rFonts w:eastAsia="方正仿宋_GBK" w:cs="方正仿宋_GBK" w:hint="eastAsia"/>
                <w:bCs/>
                <w:color w:val="000000"/>
              </w:rPr>
              <w:t>-</w:t>
            </w:r>
            <w:r>
              <w:rPr>
                <w:rFonts w:eastAsia="方正仿宋_GBK" w:cs="方正仿宋_GBK" w:hint="eastAsia"/>
                <w:bCs/>
                <w:color w:val="000000"/>
              </w:rPr>
              <w:t>诉讼引导”全流程服务。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徐州市知识产权局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盐城市大丰区知识产权局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宿迁市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宿豫区知识产权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局</w:t>
            </w:r>
          </w:p>
        </w:tc>
      </w:tr>
      <w:tr w:rsidR="00F86FFA" w:rsidTr="00B36186">
        <w:trPr>
          <w:cantSplit/>
          <w:trHeight w:val="1667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7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文体赛事知识产权保护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密切与文化、体育部门合作，编制文体赛事知识产权保护指引，引导参赛主体、运营主体等综合运用商标、著作权等方式，加强文体赛事领域知识产权保护。严厉打击商标恶意抢注，规范商标使用。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淮安市知识产权局</w:t>
            </w:r>
          </w:p>
        </w:tc>
      </w:tr>
      <w:tr w:rsidR="00F86FFA" w:rsidTr="00B36186">
        <w:trPr>
          <w:cantSplit/>
          <w:trHeight w:val="2414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8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重点商标协同保护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面向当地重点品牌、区域品牌、地理标志产品等，建立市场监管、公安、网信、知识产权等部门参与的协作机制，建立跨区域协调机制，定期组织业务专题研讨。加强经营主体知识产权合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规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指引，规范商品网络销售行为，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运用区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块链存证、大数据监测等技术赋能，优化产品溯源系统。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无锡市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惠山区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连云港市灌南县知识产权局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连云港市东海县知识产权局</w:t>
            </w:r>
          </w:p>
        </w:tc>
      </w:tr>
      <w:tr w:rsidR="00F86FFA" w:rsidTr="00B36186">
        <w:trPr>
          <w:cantSplit/>
          <w:trHeight w:val="2470"/>
          <w:jc w:val="center"/>
        </w:trPr>
        <w:tc>
          <w:tcPr>
            <w:tcW w:w="170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after="0" w:line="360" w:lineRule="exact"/>
              <w:jc w:val="center"/>
              <w:textAlignment w:val="center"/>
              <w:rPr>
                <w:rFonts w:eastAsia="方正仿宋_GBK" w:cs="方正仿宋_GBK"/>
                <w:b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优化知识产权公共服务</w:t>
            </w: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9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打造“一站式”公共服务窗口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组建“企业特派员”“侵权观察员”“维权志愿者”等服务团队，发挥公共法律服务中心等集成效应，与版权、农业农村、文旅、商务、司法等部门合作共建一站式服务窗口，通过轮班驻场、巡诊走访等方式为企业提供面对面服务，定期发布产业专利导航报告，开展公益性培训，提高企业知识产权制度运用能力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淮安市知识产权局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镇江市知识产权局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南京市雨花台区知识产权局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常州市武进区知识产权局</w:t>
            </w:r>
          </w:p>
        </w:tc>
      </w:tr>
      <w:tr w:rsidR="00F86FFA" w:rsidTr="00B36186">
        <w:trPr>
          <w:cantSplit/>
          <w:trHeight w:val="1400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10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搭建知识产权智慧服务平台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搭建线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上知识产权公共服务平台，嵌入</w:t>
            </w:r>
            <w:r>
              <w:rPr>
                <w:rFonts w:eastAsia="方正仿宋_GBK" w:cs="方正仿宋_GBK" w:hint="eastAsia"/>
                <w:bCs/>
                <w:color w:val="000000"/>
              </w:rPr>
              <w:t>AI</w:t>
            </w:r>
            <w:r>
              <w:rPr>
                <w:rFonts w:eastAsia="方正仿宋_GBK" w:cs="方正仿宋_GBK" w:hint="eastAsia"/>
                <w:bCs/>
                <w:color w:val="000000"/>
              </w:rPr>
              <w:t>智能客服，预设“商标注册查询”“专利申请流程”“侵权举报入口”等功能，建立专人服务机制，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畅通企业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诉求反馈渠道。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扬州市知识产权局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徐州市</w:t>
            </w:r>
            <w:proofErr w:type="gramStart"/>
            <w:r>
              <w:rPr>
                <w:rFonts w:eastAsia="方正仿宋_GBK" w:cs="方正仿宋_GBK" w:hint="eastAsia"/>
                <w:bCs/>
                <w:color w:val="000000"/>
              </w:rPr>
              <w:t>铜山区</w:t>
            </w:r>
            <w:proofErr w:type="gramEnd"/>
            <w:r>
              <w:rPr>
                <w:rFonts w:eastAsia="方正仿宋_GBK" w:cs="方正仿宋_GBK" w:hint="eastAsia"/>
                <w:bCs/>
                <w:color w:val="000000"/>
              </w:rPr>
              <w:t>知识产权局</w:t>
            </w:r>
          </w:p>
        </w:tc>
      </w:tr>
      <w:tr w:rsidR="00F86FFA" w:rsidTr="00B36186">
        <w:trPr>
          <w:cantSplit/>
          <w:trHeight w:val="675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11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加强整治非正常专利申请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打造专利质量管理系统，集成人工智能垂直领域大模型，聚焦专利申请检索、撰写、审查答复等核心环节，开发集成专利申请自动化分配、检索报告模块化撰写、流程进度动态跟踪等功能，及时将企业异常行为推送给基层管理人员实地核查，协同加强对非正常专利申请的监控和管理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南通市知识产权局</w:t>
            </w:r>
          </w:p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无锡市经开区知识产权局</w:t>
            </w:r>
          </w:p>
        </w:tc>
      </w:tr>
      <w:tr w:rsidR="00F86FFA" w:rsidTr="00B36186">
        <w:trPr>
          <w:cantSplit/>
          <w:trHeight w:val="1496"/>
          <w:jc w:val="center"/>
        </w:trPr>
        <w:tc>
          <w:tcPr>
            <w:tcW w:w="1702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</w:p>
        </w:tc>
        <w:tc>
          <w:tcPr>
            <w:tcW w:w="5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12</w:t>
            </w:r>
          </w:p>
        </w:tc>
        <w:tc>
          <w:tcPr>
            <w:tcW w:w="13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center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微场景知识产权互动传播</w:t>
            </w:r>
          </w:p>
        </w:tc>
        <w:tc>
          <w:tcPr>
            <w:tcW w:w="6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面向管理部门、社会团体、创新主体等征集案例文书、物品包装、模型图片等形式的知识产权典型案例，在城市网红地、产业园区、人流密集公共场所设立“微场景知识产权角”，为社会公众打造沉浸式知识产权体验场景，增强公众知识产权意识和社会知晓度。</w:t>
            </w:r>
          </w:p>
        </w:tc>
        <w:tc>
          <w:tcPr>
            <w:tcW w:w="31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6FFA" w:rsidRDefault="00F86FFA" w:rsidP="00B36186">
            <w:pPr>
              <w:pStyle w:val="a3"/>
              <w:spacing w:before="0" w:beforeAutospacing="0" w:after="0" w:afterAutospacing="0" w:line="360" w:lineRule="exact"/>
              <w:jc w:val="both"/>
              <w:textAlignment w:val="center"/>
              <w:rPr>
                <w:rFonts w:eastAsia="方正仿宋_GBK" w:cs="方正仿宋_GBK"/>
                <w:bCs/>
                <w:color w:val="000000"/>
              </w:rPr>
            </w:pPr>
            <w:r>
              <w:rPr>
                <w:rFonts w:eastAsia="方正仿宋_GBK" w:cs="方正仿宋_GBK" w:hint="eastAsia"/>
                <w:bCs/>
                <w:color w:val="000000"/>
              </w:rPr>
              <w:t>南京市知识产权局</w:t>
            </w:r>
          </w:p>
        </w:tc>
      </w:tr>
    </w:tbl>
    <w:p w:rsidR="003A2D67" w:rsidRDefault="003A2D67" w:rsidP="00F86FFA">
      <w:pPr>
        <w:ind w:firstLine="0"/>
      </w:pPr>
    </w:p>
    <w:sectPr w:rsidR="003A2D67" w:rsidSect="00F86FFA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6FFA"/>
    <w:rsid w:val="00366CCE"/>
    <w:rsid w:val="003A2D67"/>
    <w:rsid w:val="00A16973"/>
    <w:rsid w:val="00F86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FFA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F86FFA"/>
    <w:pPr>
      <w:widowControl/>
      <w:autoSpaceDE/>
      <w:autoSpaceDN/>
      <w:snapToGrid/>
      <w:spacing w:before="100" w:beforeAutospacing="1" w:after="100" w:afterAutospacing="1" w:line="240" w:lineRule="auto"/>
      <w:ind w:firstLine="0"/>
      <w:jc w:val="left"/>
    </w:pPr>
    <w:rPr>
      <w:rFonts w:ascii="宋体" w:eastAsia="宋体" w:hAnsi="宋体" w:cs="宋体"/>
      <w:snapToGrid/>
      <w:sz w:val="24"/>
      <w:szCs w:val="24"/>
    </w:rPr>
  </w:style>
  <w:style w:type="paragraph" w:customStyle="1" w:styleId="1">
    <w:name w:val="标题1"/>
    <w:basedOn w:val="a"/>
    <w:next w:val="a"/>
    <w:qFormat/>
    <w:rsid w:val="00F86FFA"/>
    <w:pPr>
      <w:tabs>
        <w:tab w:val="left" w:pos="9193"/>
        <w:tab w:val="left" w:pos="9827"/>
      </w:tabs>
      <w:spacing w:line="640" w:lineRule="atLeast"/>
      <w:ind w:firstLine="0"/>
      <w:jc w:val="center"/>
    </w:pPr>
    <w:rPr>
      <w:rFonts w:eastAsia="方正小标宋_GBK"/>
      <w:sz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304</Words>
  <Characters>1737</Characters>
  <Application>Microsoft Office Word</Application>
  <DocSecurity>0</DocSecurity>
  <Lines>14</Lines>
  <Paragraphs>4</Paragraphs>
  <ScaleCrop>false</ScaleCrop>
  <Company>Win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2025-08-20T01:39:00Z</dcterms:created>
  <dcterms:modified xsi:type="dcterms:W3CDTF">2025-08-20T01:40:00Z</dcterms:modified>
</cp:coreProperties>
</file>