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7039" w:rsidRDefault="00FC7039" w:rsidP="00FC7039">
      <w:pPr>
        <w:spacing w:line="590" w:lineRule="exact"/>
        <w:ind w:firstLine="0"/>
        <w:jc w:val="left"/>
        <w:rPr>
          <w:rFonts w:ascii="方正黑体_GBK" w:eastAsia="方正黑体_GBK" w:hAnsi="方正黑体_GBK" w:cs="方正黑体_GBK"/>
          <w:b/>
        </w:rPr>
      </w:pPr>
      <w:r>
        <w:rPr>
          <w:rFonts w:ascii="方正黑体_GBK" w:eastAsia="方正黑体_GBK" w:hAnsi="方正黑体_GBK" w:cs="方正黑体_GBK" w:hint="eastAsia"/>
          <w:b/>
        </w:rPr>
        <w:t>附件1</w:t>
      </w:r>
    </w:p>
    <w:p w:rsidR="00FC7039" w:rsidRDefault="00FC7039" w:rsidP="00FC7039">
      <w:pPr>
        <w:pStyle w:val="1"/>
        <w:spacing w:line="590" w:lineRule="exact"/>
        <w:jc w:val="both"/>
        <w:rPr>
          <w:rFonts w:ascii="宋体" w:hAnsi="宋体"/>
          <w:b/>
          <w:kern w:val="32"/>
        </w:rPr>
      </w:pPr>
    </w:p>
    <w:p w:rsidR="00FC7039" w:rsidRDefault="00FC7039" w:rsidP="00FC7039">
      <w:pPr>
        <w:pStyle w:val="1"/>
        <w:spacing w:line="660" w:lineRule="exact"/>
        <w:rPr>
          <w:rFonts w:ascii="方正小标宋_GBK" w:hAnsi="方正小标宋_GBK" w:cs="方正小标宋_GBK"/>
          <w:b/>
          <w:bCs/>
          <w:kern w:val="32"/>
        </w:rPr>
      </w:pPr>
      <w:bookmarkStart w:id="0" w:name="_Hlk207098615"/>
      <w:r>
        <w:rPr>
          <w:rFonts w:ascii="方正小标宋_GBK" w:hAnsi="方正小标宋_GBK" w:cs="方正小标宋_GBK" w:hint="eastAsia"/>
          <w:b/>
          <w:bCs/>
          <w:kern w:val="32"/>
        </w:rPr>
        <w:t>江苏省国家级知识产权保护中心</w:t>
      </w:r>
      <w:r>
        <w:rPr>
          <w:rFonts w:ascii="方正小标宋_GBK" w:hAnsi="方正小标宋_GBK" w:cs="方正小标宋_GBK" w:hint="eastAsia"/>
          <w:b/>
          <w:bCs/>
          <w:kern w:val="32"/>
        </w:rPr>
        <w:br/>
        <w:t>专利申请预审服务管理办法</w:t>
      </w:r>
    </w:p>
    <w:p w:rsidR="00FC7039" w:rsidRDefault="00FC7039" w:rsidP="00FC7039">
      <w:pPr>
        <w:pStyle w:val="1"/>
        <w:spacing w:line="660" w:lineRule="exact"/>
        <w:rPr>
          <w:rFonts w:ascii="方正楷体_GBK" w:eastAsia="方正楷体_GBK" w:hAnsi="方正楷体_GBK" w:cs="方正楷体_GBK"/>
          <w:b/>
          <w:bCs/>
          <w:kern w:val="32"/>
          <w:sz w:val="32"/>
          <w:szCs w:val="32"/>
        </w:rPr>
      </w:pPr>
      <w:r>
        <w:rPr>
          <w:rFonts w:ascii="方正楷体_GBK" w:eastAsia="方正楷体_GBK" w:hAnsi="方正楷体_GBK" w:cs="方正楷体_GBK" w:hint="eastAsia"/>
          <w:b/>
          <w:bCs/>
          <w:kern w:val="32"/>
          <w:sz w:val="32"/>
          <w:szCs w:val="32"/>
        </w:rPr>
        <w:t>(征求意见稿)</w:t>
      </w:r>
    </w:p>
    <w:bookmarkEnd w:id="0"/>
    <w:p w:rsidR="00FC7039" w:rsidRDefault="00FC7039" w:rsidP="00FC7039">
      <w:pPr>
        <w:adjustRightInd w:val="0"/>
        <w:spacing w:beforeLines="50" w:afterLines="50" w:line="560" w:lineRule="exact"/>
        <w:ind w:firstLine="0"/>
        <w:jc w:val="center"/>
        <w:rPr>
          <w:rFonts w:ascii="宋体" w:eastAsia="方正黑体_GBK" w:hAnsi="宋体" w:cs="黑体"/>
          <w:b/>
          <w:bCs/>
        </w:rPr>
      </w:pPr>
      <w:r>
        <w:rPr>
          <w:rFonts w:ascii="宋体" w:eastAsia="方正黑体_GBK" w:hAnsi="宋体" w:cs="黑体" w:hint="eastAsia"/>
          <w:b/>
          <w:bCs/>
        </w:rPr>
        <w:t>第一章</w:t>
      </w:r>
      <w:r>
        <w:rPr>
          <w:rFonts w:ascii="宋体" w:eastAsia="方正黑体_GBK" w:hAnsi="宋体" w:cs="黑体" w:hint="eastAsia"/>
          <w:b/>
          <w:bCs/>
        </w:rPr>
        <w:t xml:space="preserve">  </w:t>
      </w:r>
      <w:r>
        <w:rPr>
          <w:rFonts w:ascii="宋体" w:eastAsia="方正黑体_GBK" w:hAnsi="宋体" w:cs="黑体" w:hint="eastAsia"/>
          <w:b/>
          <w:bCs/>
        </w:rPr>
        <w:t>总则</w:t>
      </w:r>
    </w:p>
    <w:p w:rsidR="00FC7039" w:rsidRDefault="00FC7039" w:rsidP="00FC7039">
      <w:pPr>
        <w:numPr>
          <w:ilvl w:val="0"/>
          <w:numId w:val="1"/>
        </w:numPr>
        <w:adjustRightInd w:val="0"/>
        <w:spacing w:line="560" w:lineRule="exact"/>
        <w:ind w:left="0" w:firstLineChars="200" w:firstLine="635"/>
        <w:rPr>
          <w:rFonts w:ascii="宋体" w:hAnsi="宋体" w:cs="仿宋_GB2312"/>
          <w:b/>
          <w:bCs/>
        </w:rPr>
      </w:pPr>
      <w:r>
        <w:rPr>
          <w:rFonts w:ascii="宋体" w:hAnsi="宋体" w:cs="仿宋_GB2312" w:hint="eastAsia"/>
          <w:b/>
          <w:bCs/>
        </w:rPr>
        <w:t>为</w:t>
      </w:r>
      <w:bookmarkStart w:id="1" w:name="_Hlk207627702"/>
      <w:r>
        <w:rPr>
          <w:rFonts w:ascii="宋体" w:hAnsi="宋体" w:hint="eastAsia"/>
          <w:b/>
        </w:rPr>
        <w:t>充分发挥</w:t>
      </w:r>
      <w:bookmarkStart w:id="2" w:name="OLE_LINK1"/>
      <w:r>
        <w:rPr>
          <w:rFonts w:ascii="宋体" w:hAnsi="宋体" w:hint="eastAsia"/>
          <w:b/>
        </w:rPr>
        <w:t>国家级知识产权</w:t>
      </w:r>
      <w:bookmarkEnd w:id="2"/>
      <w:r>
        <w:rPr>
          <w:rFonts w:ascii="宋体" w:hAnsi="宋体" w:hint="eastAsia"/>
          <w:b/>
        </w:rPr>
        <w:t>保护中心（以下简称“保护中心”）支撑产业创新、促进经济高质量发展的积极作用</w:t>
      </w:r>
      <w:bookmarkEnd w:id="1"/>
      <w:r>
        <w:rPr>
          <w:rFonts w:ascii="宋体" w:hAnsi="宋体" w:hint="eastAsia"/>
          <w:b/>
        </w:rPr>
        <w:t>，进一步规范专利申请预审行为，</w:t>
      </w:r>
      <w:r>
        <w:rPr>
          <w:rFonts w:ascii="宋体" w:hAnsi="宋体" w:cs="仿宋_GB2312" w:hint="eastAsia"/>
          <w:b/>
          <w:bCs/>
        </w:rPr>
        <w:t>促进国家级知识产权保护中心精准服务备案主体名单和专利代理机构精准服务保障名单精准匹配，</w:t>
      </w:r>
      <w:bookmarkStart w:id="3" w:name="_Hlk207032862"/>
      <w:r>
        <w:rPr>
          <w:rFonts w:ascii="宋体" w:hAnsi="宋体" w:cs="仿宋_GB2312" w:hint="eastAsia"/>
          <w:b/>
          <w:bCs/>
        </w:rPr>
        <w:t>加强专利预审资源跨区域统筹协调，</w:t>
      </w:r>
      <w:r>
        <w:rPr>
          <w:rFonts w:ascii="宋体" w:hAnsi="宋体" w:hint="eastAsia"/>
          <w:b/>
        </w:rPr>
        <w:t>根据《规范申请专利行为的规定（</w:t>
      </w:r>
      <w:r>
        <w:rPr>
          <w:rFonts w:ascii="宋体" w:hAnsi="宋体" w:hint="eastAsia"/>
          <w:b/>
        </w:rPr>
        <w:t>2</w:t>
      </w:r>
      <w:r>
        <w:rPr>
          <w:rFonts w:ascii="宋体" w:hAnsi="宋体"/>
          <w:b/>
        </w:rPr>
        <w:t>023</w:t>
      </w:r>
      <w:r>
        <w:rPr>
          <w:rFonts w:ascii="宋体" w:hAnsi="宋体" w:hint="eastAsia"/>
          <w:b/>
        </w:rPr>
        <w:t>）》（国家知识产权局</w:t>
      </w:r>
      <w:r>
        <w:rPr>
          <w:rFonts w:ascii="宋体" w:hAnsi="宋体" w:hint="eastAsia"/>
          <w:b/>
        </w:rPr>
        <w:t>7</w:t>
      </w:r>
      <w:r>
        <w:rPr>
          <w:rFonts w:ascii="宋体" w:hAnsi="宋体"/>
          <w:b/>
        </w:rPr>
        <w:t>7</w:t>
      </w:r>
      <w:r>
        <w:rPr>
          <w:rFonts w:ascii="宋体" w:hAnsi="宋体" w:hint="eastAsia"/>
          <w:b/>
        </w:rPr>
        <w:t>号令）和《专利申请预审业务管理办法（试行）》（国知办发办字〔</w:t>
      </w:r>
      <w:r>
        <w:rPr>
          <w:rFonts w:ascii="宋体" w:hAnsi="宋体" w:hint="eastAsia"/>
          <w:b/>
        </w:rPr>
        <w:t>2023</w:t>
      </w:r>
      <w:r>
        <w:rPr>
          <w:rFonts w:ascii="宋体" w:hAnsi="宋体" w:hint="eastAsia"/>
          <w:b/>
        </w:rPr>
        <w:t>〕</w:t>
      </w:r>
      <w:r>
        <w:rPr>
          <w:rFonts w:ascii="宋体" w:hAnsi="宋体" w:hint="eastAsia"/>
          <w:b/>
        </w:rPr>
        <w:t>25</w:t>
      </w:r>
      <w:r>
        <w:rPr>
          <w:rFonts w:ascii="宋体" w:hAnsi="宋体" w:hint="eastAsia"/>
          <w:b/>
        </w:rPr>
        <w:t>号）、《国家知识产权局知识产权信用管理规定》（国知发保字〔</w:t>
      </w:r>
      <w:r>
        <w:rPr>
          <w:rFonts w:ascii="宋体" w:hAnsi="宋体" w:hint="eastAsia"/>
          <w:b/>
        </w:rPr>
        <w:t>2022</w:t>
      </w:r>
      <w:r>
        <w:rPr>
          <w:rFonts w:ascii="宋体" w:hAnsi="宋体" w:hint="eastAsia"/>
          <w:b/>
        </w:rPr>
        <w:t>〕</w:t>
      </w:r>
      <w:r>
        <w:rPr>
          <w:rFonts w:ascii="宋体" w:hAnsi="宋体" w:hint="eastAsia"/>
          <w:b/>
        </w:rPr>
        <w:t>8</w:t>
      </w:r>
      <w:r>
        <w:rPr>
          <w:rFonts w:ascii="宋体" w:hAnsi="宋体" w:hint="eastAsia"/>
          <w:b/>
        </w:rPr>
        <w:t>号），</w:t>
      </w:r>
      <w:bookmarkEnd w:id="3"/>
      <w:r>
        <w:rPr>
          <w:rFonts w:ascii="宋体" w:hAnsi="宋体" w:cs="仿宋_GB2312" w:hint="eastAsia"/>
          <w:b/>
          <w:bCs/>
        </w:rPr>
        <w:t>特制定本办法。</w:t>
      </w:r>
    </w:p>
    <w:p w:rsidR="00FC7039" w:rsidRDefault="00FC7039" w:rsidP="00FC7039">
      <w:pPr>
        <w:numPr>
          <w:ilvl w:val="0"/>
          <w:numId w:val="1"/>
        </w:numPr>
        <w:adjustRightInd w:val="0"/>
        <w:spacing w:line="560" w:lineRule="exact"/>
        <w:ind w:left="0" w:firstLineChars="200" w:firstLine="635"/>
        <w:rPr>
          <w:rFonts w:ascii="宋体" w:hAnsi="宋体" w:cs="仿宋_GB2312"/>
          <w:b/>
          <w:bCs/>
        </w:rPr>
      </w:pPr>
      <w:r>
        <w:rPr>
          <w:rFonts w:ascii="宋体" w:hAnsi="宋体" w:cs="仿宋_GB2312" w:hint="eastAsia"/>
          <w:b/>
          <w:bCs/>
        </w:rPr>
        <w:t>本办法适用于在江苏省内各保护中心开展专利申请预审服务工作。</w:t>
      </w:r>
    </w:p>
    <w:p w:rsidR="00FC7039" w:rsidRDefault="00FC7039" w:rsidP="00FC7039">
      <w:pPr>
        <w:numPr>
          <w:ilvl w:val="0"/>
          <w:numId w:val="1"/>
        </w:numPr>
        <w:tabs>
          <w:tab w:val="left" w:pos="1560"/>
        </w:tabs>
        <w:adjustRightInd w:val="0"/>
        <w:spacing w:line="560" w:lineRule="exact"/>
        <w:ind w:left="0" w:firstLineChars="200" w:firstLine="635"/>
        <w:rPr>
          <w:rFonts w:ascii="宋体" w:hAnsi="宋体" w:cs="仿宋_GB2312"/>
          <w:b/>
          <w:bCs/>
        </w:rPr>
      </w:pPr>
      <w:r>
        <w:rPr>
          <w:rFonts w:ascii="宋体" w:hAnsi="宋体" w:cs="仿宋_GB2312" w:hint="eastAsia"/>
          <w:b/>
          <w:bCs/>
        </w:rPr>
        <w:t>本办法所称专利申请预审（以下简称预审），是指保护中心</w:t>
      </w:r>
      <w:r>
        <w:rPr>
          <w:rFonts w:ascii="宋体" w:hAnsi="宋体" w:hint="eastAsia"/>
          <w:b/>
        </w:rPr>
        <w:t>对属于国家知识产权局批复产业领域的专利申请实施预审，</w:t>
      </w:r>
      <w:r>
        <w:rPr>
          <w:rFonts w:ascii="宋体" w:hAnsi="宋体" w:cs="仿宋_GB2312" w:hint="eastAsia"/>
          <w:b/>
          <w:bCs/>
        </w:rPr>
        <w:t>符合条件的高质量专利申请可以进入国家知识产权局专利快速审查通道。</w:t>
      </w:r>
    </w:p>
    <w:p w:rsidR="00FC7039" w:rsidRDefault="00FC7039" w:rsidP="00FC7039">
      <w:pPr>
        <w:numPr>
          <w:ilvl w:val="0"/>
          <w:numId w:val="1"/>
        </w:numPr>
        <w:tabs>
          <w:tab w:val="left" w:pos="1560"/>
        </w:tabs>
        <w:adjustRightInd w:val="0"/>
        <w:spacing w:line="560" w:lineRule="exact"/>
        <w:ind w:left="0" w:firstLineChars="200" w:firstLine="635"/>
        <w:rPr>
          <w:rFonts w:ascii="宋体" w:hAnsi="宋体" w:cs="仿宋_GB2312"/>
          <w:b/>
          <w:bCs/>
        </w:rPr>
      </w:pPr>
      <w:r>
        <w:rPr>
          <w:rFonts w:ascii="宋体" w:hAnsi="宋体" w:cs="仿宋_GB2312" w:hint="eastAsia"/>
          <w:b/>
          <w:bCs/>
        </w:rPr>
        <w:lastRenderedPageBreak/>
        <w:t>预审服务遵循“</w:t>
      </w:r>
      <w:bookmarkStart w:id="4" w:name="_Hlk207033005"/>
      <w:r>
        <w:rPr>
          <w:rFonts w:ascii="宋体" w:hAnsi="宋体" w:cs="仿宋_GB2312" w:hint="eastAsia"/>
          <w:b/>
          <w:bCs/>
        </w:rPr>
        <w:t>公平公益、主体自愿、优质高效、规范有序</w:t>
      </w:r>
      <w:bookmarkEnd w:id="4"/>
      <w:r>
        <w:rPr>
          <w:rFonts w:ascii="宋体" w:hAnsi="宋体" w:cs="仿宋_GB2312" w:hint="eastAsia"/>
          <w:b/>
          <w:bCs/>
        </w:rPr>
        <w:t>”的原则。</w:t>
      </w:r>
    </w:p>
    <w:p w:rsidR="00FC7039" w:rsidRDefault="00FC7039" w:rsidP="00FC7039">
      <w:pPr>
        <w:numPr>
          <w:ilvl w:val="0"/>
          <w:numId w:val="1"/>
        </w:numPr>
        <w:tabs>
          <w:tab w:val="left" w:pos="1560"/>
        </w:tabs>
        <w:adjustRightInd w:val="0"/>
        <w:spacing w:line="560" w:lineRule="exact"/>
        <w:ind w:left="0" w:firstLineChars="200" w:firstLine="635"/>
        <w:rPr>
          <w:rFonts w:ascii="宋体" w:hAnsi="宋体" w:cs="仿宋_GB2312"/>
          <w:b/>
          <w:bCs/>
        </w:rPr>
      </w:pPr>
      <w:r>
        <w:rPr>
          <w:rFonts w:ascii="宋体" w:hAnsi="宋体" w:hint="eastAsia"/>
          <w:b/>
        </w:rPr>
        <w:t>企事业单位自愿申请预审服务，</w:t>
      </w:r>
      <w:r>
        <w:rPr>
          <w:rFonts w:ascii="宋体" w:hAnsi="宋体" w:cs="仿宋_GB2312" w:hint="eastAsia"/>
          <w:b/>
          <w:bCs/>
        </w:rPr>
        <w:t>不影响其申请专利的相关权益，不收取任何费用。</w:t>
      </w:r>
    </w:p>
    <w:p w:rsidR="00FC7039" w:rsidRDefault="00FC7039" w:rsidP="00FC7039">
      <w:pPr>
        <w:adjustRightInd w:val="0"/>
        <w:spacing w:beforeLines="50" w:afterLines="50" w:line="560" w:lineRule="exact"/>
        <w:ind w:firstLine="0"/>
        <w:jc w:val="center"/>
        <w:rPr>
          <w:rFonts w:ascii="宋体" w:eastAsia="方正黑体_GBK" w:hAnsi="宋体" w:cs="黑体"/>
          <w:b/>
          <w:bCs/>
        </w:rPr>
      </w:pPr>
      <w:r>
        <w:rPr>
          <w:rFonts w:ascii="宋体" w:eastAsia="方正黑体_GBK" w:hAnsi="宋体" w:cs="黑体" w:hint="eastAsia"/>
          <w:b/>
          <w:bCs/>
        </w:rPr>
        <w:t>第二章</w:t>
      </w:r>
      <w:r>
        <w:rPr>
          <w:rFonts w:ascii="宋体" w:eastAsia="方正黑体_GBK" w:hAnsi="宋体" w:cs="黑体" w:hint="eastAsia"/>
          <w:b/>
          <w:bCs/>
        </w:rPr>
        <w:t xml:space="preserve">  </w:t>
      </w:r>
      <w:r>
        <w:rPr>
          <w:rFonts w:ascii="宋体" w:eastAsia="方正黑体_GBK" w:hAnsi="宋体" w:cs="黑体" w:hint="eastAsia"/>
          <w:b/>
          <w:bCs/>
        </w:rPr>
        <w:t>申请备案</w:t>
      </w:r>
    </w:p>
    <w:p w:rsidR="00FC7039" w:rsidRDefault="00FC7039" w:rsidP="00FC7039">
      <w:pPr>
        <w:numPr>
          <w:ilvl w:val="0"/>
          <w:numId w:val="1"/>
        </w:numPr>
        <w:adjustRightInd w:val="0"/>
        <w:spacing w:line="560" w:lineRule="exact"/>
        <w:ind w:left="0" w:firstLineChars="200" w:firstLine="635"/>
        <w:rPr>
          <w:rFonts w:ascii="宋体" w:hAnsi="宋体" w:cs="仿宋_GB2312"/>
          <w:b/>
          <w:bCs/>
        </w:rPr>
      </w:pPr>
      <w:r>
        <w:rPr>
          <w:rFonts w:ascii="宋体" w:hAnsi="宋体" w:cs="仿宋_GB2312" w:hint="eastAsia"/>
          <w:b/>
          <w:bCs/>
        </w:rPr>
        <w:t>企事业单位申请预审服务，应当遵</w:t>
      </w:r>
      <w:bookmarkStart w:id="5" w:name="_GoBack"/>
      <w:bookmarkEnd w:id="5"/>
      <w:r>
        <w:rPr>
          <w:rFonts w:ascii="宋体" w:hAnsi="宋体" w:cs="仿宋_GB2312" w:hint="eastAsia"/>
          <w:b/>
          <w:bCs/>
        </w:rPr>
        <w:t>循属地原则，向江苏省保护中心或者登记注册地所在设区市保护中心申请备案。</w:t>
      </w:r>
    </w:p>
    <w:p w:rsidR="00FC7039" w:rsidRDefault="00FC7039" w:rsidP="00FC7039">
      <w:pPr>
        <w:numPr>
          <w:ilvl w:val="0"/>
          <w:numId w:val="1"/>
        </w:numPr>
        <w:adjustRightInd w:val="0"/>
        <w:spacing w:line="560" w:lineRule="exact"/>
        <w:ind w:left="0" w:firstLineChars="200" w:firstLine="635"/>
        <w:rPr>
          <w:rFonts w:ascii="宋体" w:hAnsi="宋体" w:cs="仿宋_GB2312"/>
          <w:b/>
          <w:bCs/>
        </w:rPr>
      </w:pPr>
      <w:r>
        <w:rPr>
          <w:rFonts w:ascii="宋体" w:hAnsi="宋体" w:cs="仿宋_GB2312" w:hint="eastAsia"/>
          <w:b/>
          <w:bCs/>
        </w:rPr>
        <w:t>申请备案的企事业单位应当符合以下条件：</w:t>
      </w:r>
    </w:p>
    <w:p w:rsidR="00FC7039" w:rsidRDefault="00FC7039" w:rsidP="00FC7039">
      <w:pPr>
        <w:adjustRightInd w:val="0"/>
        <w:spacing w:line="560" w:lineRule="exact"/>
        <w:rPr>
          <w:rFonts w:ascii="宋体" w:hAnsi="宋体" w:cs="仿宋_GB2312"/>
          <w:b/>
          <w:bCs/>
        </w:rPr>
      </w:pPr>
      <w:r>
        <w:rPr>
          <w:rFonts w:ascii="宋体" w:hAnsi="宋体" w:cs="仿宋_GB2312" w:hint="eastAsia"/>
          <w:b/>
          <w:bCs/>
        </w:rPr>
        <w:t>（一）登记注册地在江苏省行政区域，且具有独立法人资格；</w:t>
      </w:r>
    </w:p>
    <w:p w:rsidR="00FC7039" w:rsidRDefault="00FC7039" w:rsidP="00FC7039">
      <w:pPr>
        <w:adjustRightInd w:val="0"/>
        <w:spacing w:line="560" w:lineRule="exact"/>
        <w:rPr>
          <w:rFonts w:ascii="宋体" w:hAnsi="宋体" w:cs="仿宋_GB2312"/>
          <w:b/>
          <w:bCs/>
        </w:rPr>
      </w:pPr>
      <w:r>
        <w:rPr>
          <w:rFonts w:ascii="宋体" w:hAnsi="宋体" w:cs="仿宋_GB2312" w:hint="eastAsia"/>
          <w:b/>
          <w:bCs/>
        </w:rPr>
        <w:t>（二）研发、生产或经营范围与国家知识产权局批复江苏省保护中心或者登记注册地所在设区市保护中心的预审服务产业领域一致；</w:t>
      </w:r>
    </w:p>
    <w:p w:rsidR="00FC7039" w:rsidRDefault="00FC7039" w:rsidP="00FC7039">
      <w:pPr>
        <w:adjustRightInd w:val="0"/>
        <w:spacing w:line="560" w:lineRule="exact"/>
        <w:rPr>
          <w:rFonts w:ascii="宋体" w:hAnsi="宋体" w:cs="仿宋_GB2312"/>
          <w:b/>
          <w:bCs/>
        </w:rPr>
      </w:pPr>
      <w:r>
        <w:rPr>
          <w:rFonts w:ascii="宋体" w:hAnsi="宋体" w:cs="仿宋_GB2312" w:hint="eastAsia"/>
          <w:b/>
          <w:bCs/>
        </w:rPr>
        <w:t>（三）</w:t>
      </w:r>
      <w:r>
        <w:rPr>
          <w:rFonts w:ascii="宋体" w:hAnsi="宋体" w:hint="eastAsia"/>
          <w:b/>
        </w:rPr>
        <w:t>创新实力强、专利质量好、专利工作诚信度高；</w:t>
      </w:r>
    </w:p>
    <w:p w:rsidR="00FC7039" w:rsidRDefault="00FC7039" w:rsidP="00FC7039">
      <w:pPr>
        <w:adjustRightInd w:val="0"/>
        <w:spacing w:line="560" w:lineRule="exact"/>
        <w:rPr>
          <w:rFonts w:ascii="宋体" w:hAnsi="宋体" w:cs="仿宋_GB2312"/>
          <w:b/>
          <w:bCs/>
        </w:rPr>
      </w:pPr>
      <w:r>
        <w:rPr>
          <w:rFonts w:ascii="宋体" w:hAnsi="宋体" w:cs="仿宋_GB2312" w:hint="eastAsia"/>
          <w:b/>
          <w:bCs/>
        </w:rPr>
        <w:t>（四）近</w:t>
      </w:r>
      <w:r>
        <w:rPr>
          <w:rFonts w:ascii="宋体" w:hAnsi="宋体" w:hint="eastAsia"/>
          <w:b/>
        </w:rPr>
        <w:t>三年内没有专利不诚信行为。</w:t>
      </w:r>
    </w:p>
    <w:p w:rsidR="00FC7039" w:rsidRDefault="00FC7039" w:rsidP="00FC7039">
      <w:pPr>
        <w:adjustRightInd w:val="0"/>
        <w:spacing w:line="560" w:lineRule="exact"/>
        <w:rPr>
          <w:rFonts w:ascii="宋体" w:hAnsi="宋体"/>
          <w:b/>
          <w:color w:val="000000"/>
          <w:szCs w:val="32"/>
        </w:rPr>
      </w:pPr>
      <w:bookmarkStart w:id="6" w:name="_Hlk207045305"/>
      <w:r>
        <w:rPr>
          <w:rFonts w:ascii="宋体" w:hAnsi="宋体" w:hint="eastAsia"/>
          <w:b/>
          <w:color w:val="000000"/>
          <w:szCs w:val="32"/>
        </w:rPr>
        <w:t>国家实验室、全国重点实验室，国家科研机构、高水平研究型大学、科技领军企业、院士团队等国家重大科技战略力量，省级科技领军企业、头部高等院校、省级科研平台等省级战略科技力量</w:t>
      </w:r>
      <w:bookmarkEnd w:id="6"/>
      <w:r>
        <w:rPr>
          <w:rFonts w:ascii="宋体" w:hAnsi="宋体" w:hint="eastAsia"/>
          <w:b/>
          <w:color w:val="000000"/>
          <w:szCs w:val="32"/>
        </w:rPr>
        <w:t>（以下简称“精准服务重点备案主体”）不受前款第二项规定的限制。</w:t>
      </w:r>
    </w:p>
    <w:p w:rsidR="00FC7039" w:rsidRDefault="00FC7039" w:rsidP="00FC7039">
      <w:pPr>
        <w:numPr>
          <w:ilvl w:val="0"/>
          <w:numId w:val="1"/>
        </w:numPr>
        <w:adjustRightInd w:val="0"/>
        <w:spacing w:line="560" w:lineRule="exact"/>
        <w:ind w:left="0" w:firstLineChars="200" w:firstLine="635"/>
        <w:rPr>
          <w:rFonts w:ascii="宋体" w:hAnsi="宋体" w:cs="仿宋_GB2312"/>
          <w:b/>
          <w:bCs/>
        </w:rPr>
      </w:pPr>
      <w:r>
        <w:rPr>
          <w:rFonts w:ascii="宋体" w:hAnsi="宋体" w:cs="仿宋_GB2312" w:hint="eastAsia"/>
          <w:b/>
          <w:bCs/>
        </w:rPr>
        <w:t>企事业单位申请备案应当提供加盖公章的以下备案申请材料：</w:t>
      </w:r>
    </w:p>
    <w:p w:rsidR="00FC7039" w:rsidRDefault="00FC7039" w:rsidP="00FC7039">
      <w:pPr>
        <w:adjustRightInd w:val="0"/>
        <w:spacing w:line="560" w:lineRule="exact"/>
        <w:rPr>
          <w:rFonts w:ascii="宋体" w:hAnsi="宋体" w:cs="仿宋_GB2312"/>
          <w:b/>
          <w:bCs/>
        </w:rPr>
      </w:pPr>
      <w:r>
        <w:rPr>
          <w:rFonts w:ascii="宋体" w:hAnsi="宋体" w:cs="仿宋_GB2312" w:hint="eastAsia"/>
          <w:b/>
          <w:bCs/>
        </w:rPr>
        <w:lastRenderedPageBreak/>
        <w:t>（一）</w:t>
      </w:r>
      <w:r>
        <w:rPr>
          <w:rFonts w:ascii="宋体" w:hAnsi="宋体" w:hint="eastAsia"/>
          <w:b/>
        </w:rPr>
        <w:t>预审服务备案申请表</w:t>
      </w:r>
      <w:r>
        <w:rPr>
          <w:rFonts w:ascii="宋体" w:hAnsi="宋体" w:cs="仿宋_GB2312" w:hint="eastAsia"/>
          <w:b/>
          <w:bCs/>
        </w:rPr>
        <w:t>；</w:t>
      </w:r>
    </w:p>
    <w:p w:rsidR="00FC7039" w:rsidRDefault="00FC7039" w:rsidP="00FC7039">
      <w:pPr>
        <w:adjustRightInd w:val="0"/>
        <w:spacing w:line="560" w:lineRule="exact"/>
        <w:rPr>
          <w:rFonts w:ascii="宋体" w:hAnsi="宋体" w:cs="仿宋_GB2312"/>
          <w:b/>
          <w:bCs/>
        </w:rPr>
      </w:pPr>
      <w:r>
        <w:rPr>
          <w:rFonts w:ascii="宋体" w:hAnsi="宋体" w:cs="仿宋_GB2312" w:hint="eastAsia"/>
          <w:b/>
          <w:bCs/>
        </w:rPr>
        <w:t>（二）企业营业执照或者事业单位法人证书复制件；</w:t>
      </w:r>
    </w:p>
    <w:p w:rsidR="00FC7039" w:rsidRDefault="00FC7039" w:rsidP="00FC7039">
      <w:pPr>
        <w:adjustRightInd w:val="0"/>
        <w:spacing w:line="560" w:lineRule="exact"/>
        <w:rPr>
          <w:rFonts w:ascii="宋体" w:hAnsi="宋体" w:cs="仿宋_GB2312"/>
          <w:b/>
          <w:bCs/>
        </w:rPr>
      </w:pPr>
      <w:r>
        <w:rPr>
          <w:rFonts w:ascii="宋体" w:hAnsi="宋体" w:cs="仿宋_GB2312" w:hint="eastAsia"/>
          <w:b/>
          <w:bCs/>
        </w:rPr>
        <w:t>（三）申请预审服务承诺书（见附件）；</w:t>
      </w:r>
    </w:p>
    <w:p w:rsidR="00FC7039" w:rsidRDefault="00FC7039" w:rsidP="00FC7039">
      <w:pPr>
        <w:adjustRightInd w:val="0"/>
        <w:spacing w:line="560" w:lineRule="exact"/>
        <w:rPr>
          <w:rFonts w:ascii="宋体" w:hAnsi="宋体" w:cs="仿宋_GB2312"/>
          <w:b/>
          <w:bCs/>
        </w:rPr>
      </w:pPr>
      <w:r>
        <w:rPr>
          <w:rFonts w:ascii="宋体" w:hAnsi="宋体" w:cs="仿宋_GB2312" w:hint="eastAsia"/>
          <w:b/>
          <w:bCs/>
        </w:rPr>
        <w:t>（四）</w:t>
      </w:r>
      <w:r>
        <w:rPr>
          <w:rFonts w:ascii="宋体" w:hAnsi="宋体" w:hint="eastAsia"/>
          <w:b/>
        </w:rPr>
        <w:t>法律法规和国家知识产权局规定提交的其他材料</w:t>
      </w:r>
      <w:r>
        <w:rPr>
          <w:rFonts w:ascii="宋体" w:hAnsi="宋体" w:cs="仿宋_GB2312" w:hint="eastAsia"/>
          <w:b/>
          <w:bCs/>
        </w:rPr>
        <w:t>。</w:t>
      </w:r>
    </w:p>
    <w:p w:rsidR="00FC7039" w:rsidRDefault="00FC7039" w:rsidP="00FC7039">
      <w:pPr>
        <w:numPr>
          <w:ilvl w:val="0"/>
          <w:numId w:val="1"/>
        </w:numPr>
        <w:adjustRightInd w:val="0"/>
        <w:spacing w:line="560" w:lineRule="exact"/>
        <w:ind w:left="0" w:firstLineChars="200" w:firstLine="635"/>
        <w:rPr>
          <w:rFonts w:ascii="宋体" w:hAnsi="宋体" w:cs="仿宋_GB2312"/>
          <w:b/>
          <w:bCs/>
        </w:rPr>
      </w:pPr>
      <w:r>
        <w:rPr>
          <w:rFonts w:ascii="宋体" w:hAnsi="宋体" w:cs="仿宋_GB2312" w:hint="eastAsia"/>
          <w:b/>
          <w:bCs/>
        </w:rPr>
        <w:t>保护中心对企事业单位递交的备案申请材料进行审核，</w:t>
      </w:r>
      <w:r>
        <w:rPr>
          <w:rFonts w:ascii="宋体" w:hAnsi="宋体" w:hint="eastAsia"/>
          <w:b/>
        </w:rPr>
        <w:t>对符合条件的，</w:t>
      </w:r>
      <w:r>
        <w:rPr>
          <w:rFonts w:ascii="宋体" w:hAnsi="宋体" w:cs="仿宋_GB2312" w:hint="eastAsia"/>
          <w:b/>
          <w:bCs/>
        </w:rPr>
        <w:t>提交国家知识产权局核准，核准通过后完成备案</w:t>
      </w:r>
      <w:r>
        <w:rPr>
          <w:rFonts w:ascii="宋体" w:hAnsi="宋体" w:hint="eastAsia"/>
          <w:b/>
        </w:rPr>
        <w:t>（经过备案的主体以下简称为“备案主体”）</w:t>
      </w:r>
      <w:r>
        <w:rPr>
          <w:rFonts w:ascii="宋体" w:hAnsi="宋体" w:cs="仿宋_GB2312" w:hint="eastAsia"/>
          <w:b/>
          <w:bCs/>
        </w:rPr>
        <w:t>。</w:t>
      </w:r>
    </w:p>
    <w:p w:rsidR="00FC7039" w:rsidRDefault="00FC7039" w:rsidP="00FC7039">
      <w:pPr>
        <w:adjustRightInd w:val="0"/>
        <w:spacing w:beforeLines="50" w:afterLines="50" w:line="560" w:lineRule="exact"/>
        <w:ind w:firstLine="0"/>
        <w:jc w:val="center"/>
        <w:rPr>
          <w:rFonts w:ascii="宋体" w:eastAsia="方正黑体_GBK" w:hAnsi="宋体" w:cs="黑体"/>
          <w:b/>
          <w:bCs/>
        </w:rPr>
      </w:pPr>
      <w:r>
        <w:rPr>
          <w:rFonts w:ascii="宋体" w:eastAsia="方正黑体_GBK" w:hAnsi="宋体" w:cs="黑体" w:hint="eastAsia"/>
          <w:b/>
          <w:bCs/>
        </w:rPr>
        <w:t>第三章</w:t>
      </w:r>
      <w:r>
        <w:rPr>
          <w:rFonts w:ascii="宋体" w:eastAsia="方正黑体_GBK" w:hAnsi="宋体" w:cs="黑体" w:hint="eastAsia"/>
          <w:b/>
          <w:bCs/>
        </w:rPr>
        <w:t xml:space="preserve">  </w:t>
      </w:r>
      <w:r>
        <w:rPr>
          <w:rFonts w:ascii="宋体" w:eastAsia="方正黑体_GBK" w:hAnsi="宋体" w:cs="黑体" w:hint="eastAsia"/>
          <w:b/>
          <w:bCs/>
        </w:rPr>
        <w:t>预审登记</w:t>
      </w:r>
    </w:p>
    <w:p w:rsidR="00FC7039" w:rsidRDefault="00FC7039" w:rsidP="00FC7039">
      <w:pPr>
        <w:numPr>
          <w:ilvl w:val="0"/>
          <w:numId w:val="1"/>
        </w:numPr>
        <w:adjustRightInd w:val="0"/>
        <w:spacing w:line="560" w:lineRule="exact"/>
        <w:ind w:left="0" w:firstLineChars="200" w:firstLine="635"/>
        <w:rPr>
          <w:rFonts w:ascii="宋体" w:hAnsi="宋体" w:cs="仿宋_GB2312"/>
          <w:b/>
          <w:bCs/>
          <w:color w:val="000000" w:themeColor="text1"/>
        </w:rPr>
      </w:pPr>
      <w:bookmarkStart w:id="7" w:name="_Hlk207116248"/>
      <w:r>
        <w:rPr>
          <w:rFonts w:ascii="宋体" w:hAnsi="宋体" w:cs="仿宋_GB2312" w:hint="eastAsia"/>
          <w:b/>
          <w:bCs/>
          <w:color w:val="000000" w:themeColor="text1"/>
        </w:rPr>
        <w:t>备案主体可以委托专利代理机构办理预审相关业务。接受委托的专利代理机构，应当</w:t>
      </w:r>
      <w:r>
        <w:rPr>
          <w:rFonts w:ascii="宋体" w:hAnsi="宋体" w:cs="仿宋_GB2312" w:hint="eastAsia"/>
          <w:b/>
          <w:bCs/>
        </w:rPr>
        <w:t>遵循属地原则，向江苏省保护中心或者备案主体所在设区市保护中心</w:t>
      </w:r>
      <w:r>
        <w:rPr>
          <w:rFonts w:ascii="宋体" w:hAnsi="宋体" w:cs="仿宋_GB2312" w:hint="eastAsia"/>
          <w:b/>
          <w:bCs/>
          <w:color w:val="000000" w:themeColor="text1"/>
        </w:rPr>
        <w:t>登记，且</w:t>
      </w:r>
      <w:bookmarkStart w:id="8" w:name="_Hlk207033290"/>
      <w:r>
        <w:rPr>
          <w:rFonts w:ascii="宋体" w:hAnsi="宋体" w:cs="仿宋_GB2312" w:hint="eastAsia"/>
          <w:b/>
          <w:bCs/>
          <w:color w:val="000000" w:themeColor="text1"/>
        </w:rPr>
        <w:t>被列入全国中华专利代理师协会公布的“专利代理机构精准服务保障名单”</w:t>
      </w:r>
      <w:bookmarkEnd w:id="8"/>
      <w:r>
        <w:rPr>
          <w:rFonts w:ascii="宋体" w:hAnsi="宋体" w:cs="仿宋_GB2312" w:hint="eastAsia"/>
          <w:b/>
          <w:bCs/>
          <w:color w:val="000000" w:themeColor="text1"/>
        </w:rPr>
        <w:t>。</w:t>
      </w:r>
    </w:p>
    <w:bookmarkEnd w:id="7"/>
    <w:p w:rsidR="00FC7039" w:rsidRDefault="00FC7039" w:rsidP="00FC7039">
      <w:pPr>
        <w:numPr>
          <w:ilvl w:val="0"/>
          <w:numId w:val="1"/>
        </w:numPr>
        <w:adjustRightInd w:val="0"/>
        <w:spacing w:line="560" w:lineRule="exact"/>
        <w:ind w:left="0" w:firstLineChars="200" w:firstLine="635"/>
        <w:rPr>
          <w:rFonts w:ascii="宋体" w:hAnsi="宋体" w:cs="仿宋_GB2312"/>
          <w:b/>
          <w:bCs/>
        </w:rPr>
      </w:pPr>
      <w:r>
        <w:rPr>
          <w:rFonts w:ascii="宋体" w:hAnsi="宋体" w:cs="仿宋_GB2312" w:hint="eastAsia"/>
          <w:b/>
          <w:bCs/>
        </w:rPr>
        <w:t>代理机构登记应当提供加盖公章的以下注册申请材料：</w:t>
      </w:r>
    </w:p>
    <w:p w:rsidR="00FC7039" w:rsidRDefault="00FC7039" w:rsidP="00FC7039">
      <w:pPr>
        <w:adjustRightInd w:val="0"/>
        <w:spacing w:line="560" w:lineRule="exact"/>
        <w:rPr>
          <w:rFonts w:ascii="宋体" w:hAnsi="宋体" w:cs="仿宋_GB2312"/>
          <w:b/>
          <w:bCs/>
        </w:rPr>
      </w:pPr>
      <w:r>
        <w:rPr>
          <w:rFonts w:ascii="宋体" w:hAnsi="宋体" w:cs="仿宋_GB2312" w:hint="eastAsia"/>
          <w:b/>
          <w:bCs/>
        </w:rPr>
        <w:t>（一）代理机构预审登记申请表；</w:t>
      </w:r>
    </w:p>
    <w:p w:rsidR="00FC7039" w:rsidRDefault="00FC7039" w:rsidP="00FC7039">
      <w:pPr>
        <w:adjustRightInd w:val="0"/>
        <w:spacing w:line="560" w:lineRule="exact"/>
        <w:rPr>
          <w:rFonts w:ascii="宋体" w:hAnsi="宋体" w:cs="仿宋_GB2312"/>
          <w:b/>
          <w:bCs/>
        </w:rPr>
      </w:pPr>
      <w:r>
        <w:rPr>
          <w:rFonts w:ascii="宋体" w:hAnsi="宋体" w:cs="仿宋_GB2312" w:hint="eastAsia"/>
          <w:b/>
          <w:bCs/>
        </w:rPr>
        <w:t>（二）专利代理执业许可证或者专利代理机构注册证复制件；</w:t>
      </w:r>
    </w:p>
    <w:p w:rsidR="00FC7039" w:rsidRDefault="00FC7039" w:rsidP="00FC7039">
      <w:pPr>
        <w:adjustRightInd w:val="0"/>
        <w:spacing w:line="560" w:lineRule="exact"/>
        <w:rPr>
          <w:rFonts w:ascii="宋体" w:hAnsi="宋体" w:cs="仿宋_GB2312"/>
          <w:b/>
          <w:bCs/>
        </w:rPr>
      </w:pPr>
      <w:r>
        <w:rPr>
          <w:rFonts w:ascii="宋体" w:hAnsi="宋体" w:cs="仿宋_GB2312" w:hint="eastAsia"/>
          <w:b/>
          <w:bCs/>
        </w:rPr>
        <w:t>（三）</w:t>
      </w:r>
      <w:r>
        <w:rPr>
          <w:rFonts w:ascii="宋体" w:hAnsi="宋体" w:hint="eastAsia"/>
          <w:b/>
        </w:rPr>
        <w:t>申请预审服务承诺书</w:t>
      </w:r>
      <w:r>
        <w:rPr>
          <w:rFonts w:ascii="宋体" w:hAnsi="宋体" w:cs="仿宋_GB2312" w:hint="eastAsia"/>
          <w:b/>
          <w:bCs/>
        </w:rPr>
        <w:t>（见附件）</w:t>
      </w:r>
      <w:r>
        <w:rPr>
          <w:rFonts w:ascii="宋体" w:hAnsi="宋体" w:hint="eastAsia"/>
          <w:b/>
        </w:rPr>
        <w:t>；</w:t>
      </w:r>
    </w:p>
    <w:p w:rsidR="00FC7039" w:rsidRDefault="00FC7039" w:rsidP="00FC7039">
      <w:pPr>
        <w:adjustRightInd w:val="0"/>
        <w:spacing w:line="560" w:lineRule="exact"/>
        <w:rPr>
          <w:rFonts w:ascii="宋体" w:hAnsi="宋体" w:cs="仿宋_GB2312"/>
          <w:b/>
          <w:bCs/>
        </w:rPr>
      </w:pPr>
      <w:r>
        <w:rPr>
          <w:rFonts w:ascii="宋体" w:hAnsi="宋体" w:cs="仿宋_GB2312" w:hint="eastAsia"/>
          <w:b/>
          <w:bCs/>
        </w:rPr>
        <w:t>（四）</w:t>
      </w:r>
      <w:r>
        <w:rPr>
          <w:rFonts w:ascii="宋体" w:hAnsi="宋体" w:hint="eastAsia"/>
          <w:b/>
        </w:rPr>
        <w:t>法律法规和国家知识产权局规定提交的其他材料</w:t>
      </w:r>
      <w:r>
        <w:rPr>
          <w:rFonts w:ascii="宋体" w:hAnsi="宋体" w:cs="仿宋_GB2312" w:hint="eastAsia"/>
          <w:b/>
          <w:bCs/>
        </w:rPr>
        <w:t>。</w:t>
      </w:r>
    </w:p>
    <w:p w:rsidR="00FC7039" w:rsidRDefault="00FC7039" w:rsidP="00FC7039">
      <w:pPr>
        <w:numPr>
          <w:ilvl w:val="0"/>
          <w:numId w:val="1"/>
        </w:numPr>
        <w:adjustRightInd w:val="0"/>
        <w:spacing w:line="560" w:lineRule="exact"/>
        <w:ind w:left="0" w:firstLineChars="200" w:firstLine="635"/>
        <w:rPr>
          <w:rFonts w:ascii="宋体" w:hAnsi="宋体" w:cs="仿宋_GB2312"/>
          <w:b/>
          <w:bCs/>
        </w:rPr>
      </w:pPr>
      <w:bookmarkStart w:id="9" w:name="_Hlk207033176"/>
      <w:r>
        <w:rPr>
          <w:rFonts w:ascii="宋体" w:hAnsi="宋体" w:cs="仿宋_GB2312" w:hint="eastAsia"/>
          <w:b/>
          <w:bCs/>
        </w:rPr>
        <w:t>江苏省知识产权局，以及江苏省内各保护中心，</w:t>
      </w:r>
      <w:bookmarkStart w:id="10" w:name="_Hlk207033195"/>
      <w:r>
        <w:rPr>
          <w:rFonts w:ascii="宋体" w:hAnsi="宋体" w:cs="仿宋_GB2312" w:hint="eastAsia"/>
          <w:b/>
          <w:bCs/>
        </w:rPr>
        <w:t>应当积极引导推动代理机构申请纳入“代理机构精准服务保障名单”。</w:t>
      </w:r>
      <w:bookmarkEnd w:id="10"/>
      <w:r>
        <w:rPr>
          <w:rFonts w:ascii="宋体" w:hAnsi="宋体" w:cs="仿宋_GB2312" w:hint="eastAsia"/>
          <w:b/>
          <w:bCs/>
        </w:rPr>
        <w:t>无特殊情由，保护中心不再接受“代理机构精准服务保障</w:t>
      </w:r>
      <w:r>
        <w:rPr>
          <w:rFonts w:ascii="宋体" w:hAnsi="宋体" w:cs="仿宋_GB2312" w:hint="eastAsia"/>
          <w:b/>
          <w:bCs/>
        </w:rPr>
        <w:lastRenderedPageBreak/>
        <w:t>名单”之外的代理机构提交的预审案件。</w:t>
      </w:r>
    </w:p>
    <w:bookmarkEnd w:id="9"/>
    <w:p w:rsidR="00FC7039" w:rsidRDefault="00FC7039" w:rsidP="00FC7039">
      <w:pPr>
        <w:adjustRightInd w:val="0"/>
        <w:spacing w:beforeLines="50" w:afterLines="50" w:line="560" w:lineRule="exact"/>
        <w:ind w:firstLine="0"/>
        <w:jc w:val="center"/>
        <w:rPr>
          <w:rFonts w:ascii="宋体" w:eastAsia="方正黑体_GBK" w:hAnsi="宋体" w:cs="黑体"/>
          <w:b/>
          <w:bCs/>
        </w:rPr>
      </w:pPr>
      <w:r>
        <w:rPr>
          <w:rFonts w:ascii="宋体" w:eastAsia="方正黑体_GBK" w:hAnsi="宋体" w:cs="黑体" w:hint="eastAsia"/>
          <w:b/>
          <w:bCs/>
        </w:rPr>
        <w:t>第四章</w:t>
      </w:r>
      <w:r>
        <w:rPr>
          <w:rFonts w:ascii="宋体" w:eastAsia="方正黑体_GBK" w:hAnsi="宋体" w:cs="黑体" w:hint="eastAsia"/>
          <w:b/>
          <w:bCs/>
        </w:rPr>
        <w:t xml:space="preserve">  </w:t>
      </w:r>
      <w:r>
        <w:rPr>
          <w:rFonts w:ascii="宋体" w:eastAsia="方正黑体_GBK" w:hAnsi="宋体" w:cs="黑体" w:hint="eastAsia"/>
          <w:b/>
          <w:bCs/>
        </w:rPr>
        <w:t>跨区域预审服务</w:t>
      </w:r>
    </w:p>
    <w:p w:rsidR="00FC7039" w:rsidRDefault="00FC7039" w:rsidP="00FC7039">
      <w:pPr>
        <w:numPr>
          <w:ilvl w:val="0"/>
          <w:numId w:val="1"/>
        </w:numPr>
        <w:adjustRightInd w:val="0"/>
        <w:spacing w:line="560" w:lineRule="exact"/>
        <w:ind w:left="0" w:firstLineChars="200" w:firstLine="635"/>
        <w:rPr>
          <w:rFonts w:ascii="宋体" w:hAnsi="宋体" w:cs="仿宋_GB2312"/>
          <w:b/>
          <w:bCs/>
        </w:rPr>
      </w:pPr>
      <w:r>
        <w:rPr>
          <w:rFonts w:ascii="宋体" w:hAnsi="宋体" w:cs="仿宋_GB2312" w:hint="eastAsia"/>
          <w:b/>
          <w:bCs/>
        </w:rPr>
        <w:t>全省各保护中心受理的精准服务重点备案主体提交的不属于国家知识产权局批复本中心产业领域的预审案件，可以交由江苏省保护中心进行调度。</w:t>
      </w:r>
    </w:p>
    <w:p w:rsidR="00FC7039" w:rsidRDefault="00FC7039" w:rsidP="00FC7039">
      <w:pPr>
        <w:numPr>
          <w:ilvl w:val="0"/>
          <w:numId w:val="1"/>
        </w:numPr>
        <w:adjustRightInd w:val="0"/>
        <w:spacing w:line="560" w:lineRule="exact"/>
        <w:ind w:left="0" w:firstLineChars="200" w:firstLine="635"/>
        <w:rPr>
          <w:rFonts w:ascii="宋体" w:hAnsi="宋体" w:cs="仿宋_GB2312"/>
          <w:b/>
          <w:bCs/>
        </w:rPr>
      </w:pPr>
      <w:r>
        <w:rPr>
          <w:rFonts w:ascii="宋体" w:hAnsi="宋体" w:cs="仿宋_GB2312" w:hint="eastAsia"/>
          <w:b/>
          <w:bCs/>
        </w:rPr>
        <w:t>江苏省保护中心设立江苏省预审案件调度中心，</w:t>
      </w:r>
      <w:bookmarkStart w:id="11" w:name="_Hlk207035375"/>
      <w:r>
        <w:rPr>
          <w:rFonts w:ascii="宋体" w:hAnsi="宋体" w:cs="仿宋_GB2312" w:hint="eastAsia"/>
          <w:b/>
          <w:bCs/>
        </w:rPr>
        <w:t>负责全省跨区域预审案件的调度和管理</w:t>
      </w:r>
      <w:bookmarkEnd w:id="11"/>
      <w:r>
        <w:rPr>
          <w:rFonts w:ascii="宋体" w:hAnsi="宋体" w:cs="仿宋_GB2312" w:hint="eastAsia"/>
          <w:b/>
          <w:bCs/>
        </w:rPr>
        <w:t>工作。</w:t>
      </w:r>
    </w:p>
    <w:p w:rsidR="00FC7039" w:rsidRDefault="00FC7039" w:rsidP="00FC7039">
      <w:pPr>
        <w:numPr>
          <w:ilvl w:val="0"/>
          <w:numId w:val="1"/>
        </w:numPr>
        <w:adjustRightInd w:val="0"/>
        <w:spacing w:line="560" w:lineRule="exact"/>
        <w:ind w:left="0" w:firstLineChars="200" w:firstLine="635"/>
        <w:rPr>
          <w:rFonts w:ascii="宋体" w:hAnsi="宋体" w:cs="仿宋_GB2312"/>
          <w:b/>
          <w:bCs/>
          <w:color w:val="000000" w:themeColor="text1"/>
        </w:rPr>
      </w:pPr>
      <w:r>
        <w:rPr>
          <w:rFonts w:ascii="宋体" w:hAnsi="宋体" w:cs="仿宋_GB2312" w:hint="eastAsia"/>
          <w:b/>
          <w:bCs/>
          <w:color w:val="000000" w:themeColor="text1"/>
        </w:rPr>
        <w:t>江苏省预审案件调度中心根据预审案件的</w:t>
      </w:r>
      <w:r>
        <w:rPr>
          <w:rFonts w:ascii="宋体" w:hAnsi="宋体" w:cs="仿宋_GB2312" w:hint="eastAsia"/>
          <w:b/>
          <w:bCs/>
          <w:color w:val="000000" w:themeColor="text1"/>
        </w:rPr>
        <w:t>IPC</w:t>
      </w:r>
      <w:r>
        <w:rPr>
          <w:rFonts w:ascii="宋体" w:hAnsi="宋体" w:cs="仿宋_GB2312" w:hint="eastAsia"/>
          <w:b/>
          <w:bCs/>
          <w:color w:val="000000" w:themeColor="text1"/>
        </w:rPr>
        <w:t>主分类号、全省各保护中心在审案件数</w:t>
      </w:r>
      <w:r>
        <w:rPr>
          <w:rFonts w:ascii="宋体" w:hAnsi="宋体" w:hint="eastAsia"/>
          <w:b/>
        </w:rPr>
        <w:t>等提出分配建议，</w:t>
      </w:r>
      <w:r>
        <w:rPr>
          <w:rFonts w:ascii="宋体" w:hAnsi="宋体" w:cs="仿宋_GB2312" w:hint="eastAsia"/>
          <w:b/>
          <w:bCs/>
          <w:color w:val="000000" w:themeColor="text1"/>
        </w:rPr>
        <w:t>报国家知识产权局批准后，将预审案件推送至预审地保护中心。</w:t>
      </w:r>
    </w:p>
    <w:p w:rsidR="00FC7039" w:rsidRDefault="00FC7039" w:rsidP="00FC7039">
      <w:pPr>
        <w:numPr>
          <w:ilvl w:val="0"/>
          <w:numId w:val="1"/>
        </w:numPr>
        <w:adjustRightInd w:val="0"/>
        <w:spacing w:line="560" w:lineRule="exact"/>
        <w:ind w:left="0" w:firstLineChars="200" w:firstLine="635"/>
        <w:rPr>
          <w:rFonts w:ascii="宋体" w:hAnsi="宋体" w:cs="仿宋_GB2312"/>
          <w:b/>
          <w:bCs/>
        </w:rPr>
      </w:pPr>
      <w:bookmarkStart w:id="12" w:name="_Hlk206270241"/>
      <w:r>
        <w:rPr>
          <w:rFonts w:ascii="宋体" w:hAnsi="宋体" w:cs="仿宋_GB2312" w:hint="eastAsia"/>
          <w:b/>
          <w:bCs/>
          <w:color w:val="000000" w:themeColor="text1"/>
        </w:rPr>
        <w:t>预审地保护中心负责跨区域预审案件的审查、信息采</w:t>
      </w:r>
      <w:r>
        <w:rPr>
          <w:rFonts w:ascii="宋体" w:hAnsi="宋体" w:cs="仿宋_GB2312" w:hint="eastAsia"/>
          <w:b/>
          <w:bCs/>
        </w:rPr>
        <w:t>集和一致性审核，对预审合格的案件标注加快标记，不得故意拖延或者拒绝提供预审服务，不得无正当理由驳回预审申请。</w:t>
      </w:r>
    </w:p>
    <w:p w:rsidR="00FC7039" w:rsidRDefault="00FC7039" w:rsidP="00FC7039">
      <w:pPr>
        <w:numPr>
          <w:ilvl w:val="0"/>
          <w:numId w:val="1"/>
        </w:numPr>
        <w:adjustRightInd w:val="0"/>
        <w:spacing w:line="560" w:lineRule="exact"/>
        <w:ind w:left="0" w:firstLineChars="200" w:firstLine="635"/>
        <w:rPr>
          <w:rFonts w:ascii="宋体" w:hAnsi="宋体" w:cs="仿宋_GB2312"/>
          <w:b/>
          <w:bCs/>
        </w:rPr>
      </w:pPr>
      <w:r>
        <w:rPr>
          <w:rFonts w:ascii="宋体" w:hAnsi="宋体" w:cs="仿宋_GB2312" w:hint="eastAsia"/>
          <w:b/>
          <w:bCs/>
        </w:rPr>
        <w:t>全省年度受理跨区域预审案件数量不超过上年度预审合格进入快速审查案件总量的</w:t>
      </w:r>
      <w:r>
        <w:rPr>
          <w:rFonts w:ascii="宋体" w:hAnsi="宋体" w:cs="仿宋_GB2312" w:hint="eastAsia"/>
          <w:b/>
          <w:bCs/>
        </w:rPr>
        <w:t>5%</w:t>
      </w:r>
      <w:r>
        <w:rPr>
          <w:rFonts w:ascii="宋体" w:hAnsi="宋体" w:cs="仿宋_GB2312" w:hint="eastAsia"/>
          <w:b/>
          <w:bCs/>
        </w:rPr>
        <w:t>。</w:t>
      </w:r>
    </w:p>
    <w:bookmarkEnd w:id="12"/>
    <w:p w:rsidR="00FC7039" w:rsidRDefault="00FC7039" w:rsidP="00FC7039">
      <w:pPr>
        <w:adjustRightInd w:val="0"/>
        <w:spacing w:beforeLines="50" w:afterLines="50" w:line="560" w:lineRule="exact"/>
        <w:ind w:firstLine="0"/>
        <w:jc w:val="center"/>
        <w:rPr>
          <w:rFonts w:ascii="宋体" w:eastAsia="方正黑体_GBK" w:hAnsi="宋体" w:cs="黑体"/>
          <w:b/>
          <w:bCs/>
        </w:rPr>
      </w:pPr>
      <w:r>
        <w:rPr>
          <w:rFonts w:ascii="宋体" w:eastAsia="方正黑体_GBK" w:hAnsi="宋体" w:cs="黑体" w:hint="eastAsia"/>
          <w:b/>
          <w:bCs/>
        </w:rPr>
        <w:t>第五章</w:t>
      </w:r>
      <w:r>
        <w:rPr>
          <w:rFonts w:ascii="宋体" w:eastAsia="方正黑体_GBK" w:hAnsi="宋体" w:cs="黑体" w:hint="eastAsia"/>
          <w:b/>
          <w:bCs/>
        </w:rPr>
        <w:t xml:space="preserve">  </w:t>
      </w:r>
      <w:r>
        <w:rPr>
          <w:rFonts w:ascii="宋体" w:eastAsia="方正黑体_GBK" w:hAnsi="宋体" w:cs="黑体" w:hint="eastAsia"/>
          <w:b/>
          <w:bCs/>
        </w:rPr>
        <w:t>预审规范化管理</w:t>
      </w:r>
    </w:p>
    <w:p w:rsidR="00FC7039" w:rsidRDefault="00FC7039" w:rsidP="00FC7039">
      <w:pPr>
        <w:numPr>
          <w:ilvl w:val="0"/>
          <w:numId w:val="1"/>
        </w:numPr>
        <w:adjustRightInd w:val="0"/>
        <w:spacing w:line="560" w:lineRule="exact"/>
        <w:ind w:left="0" w:firstLineChars="200" w:firstLine="635"/>
        <w:rPr>
          <w:rFonts w:ascii="宋体" w:hAnsi="宋体" w:cs="仿宋_GB2312"/>
          <w:b/>
          <w:bCs/>
        </w:rPr>
      </w:pPr>
      <w:r>
        <w:rPr>
          <w:rFonts w:ascii="宋体" w:hAnsi="宋体" w:cs="仿宋_GB2312" w:hint="eastAsia"/>
          <w:b/>
          <w:bCs/>
        </w:rPr>
        <w:t>江苏省内各保护中心应当严格按照《专利审查指南》相关规定，对预审案件进行形式缺陷和明显实质性缺陷预审，对预审文本中意识形态敏感信息进行排查。</w:t>
      </w:r>
    </w:p>
    <w:p w:rsidR="00FC7039" w:rsidRDefault="00FC7039" w:rsidP="00FC7039">
      <w:pPr>
        <w:numPr>
          <w:ilvl w:val="0"/>
          <w:numId w:val="1"/>
        </w:numPr>
        <w:adjustRightInd w:val="0"/>
        <w:spacing w:line="560" w:lineRule="exact"/>
        <w:ind w:left="0" w:firstLineChars="200" w:firstLine="635"/>
        <w:rPr>
          <w:rFonts w:ascii="宋体" w:hAnsi="宋体" w:cs="仿宋_GB2312"/>
          <w:b/>
          <w:bCs/>
        </w:rPr>
      </w:pPr>
      <w:r>
        <w:rPr>
          <w:rFonts w:ascii="宋体" w:hAnsi="宋体" w:cs="仿宋_GB2312" w:hint="eastAsia"/>
          <w:b/>
          <w:bCs/>
        </w:rPr>
        <w:t>江苏省内各保护中心对备案主体和代理机构实</w:t>
      </w:r>
      <w:r>
        <w:rPr>
          <w:rFonts w:ascii="宋体" w:hAnsi="宋体" w:cs="仿宋_GB2312" w:hint="eastAsia"/>
          <w:b/>
          <w:bCs/>
        </w:rPr>
        <w:lastRenderedPageBreak/>
        <w:t>行动态管理，对违反预审服务相关规范事项和承诺的，根据情形采取提醒、暂停预审服务、取消资格等方式维护预审工作秩序。</w:t>
      </w:r>
    </w:p>
    <w:p w:rsidR="00FC7039" w:rsidRDefault="00FC7039" w:rsidP="00FC7039">
      <w:pPr>
        <w:numPr>
          <w:ilvl w:val="0"/>
          <w:numId w:val="1"/>
        </w:numPr>
        <w:adjustRightInd w:val="0"/>
        <w:spacing w:line="560" w:lineRule="exact"/>
        <w:ind w:left="0" w:firstLineChars="200" w:firstLine="635"/>
        <w:rPr>
          <w:rFonts w:ascii="宋体" w:hAnsi="宋体" w:cs="仿宋_GB2312"/>
          <w:b/>
          <w:bCs/>
        </w:rPr>
      </w:pPr>
      <w:r>
        <w:rPr>
          <w:rFonts w:ascii="宋体" w:hAnsi="宋体" w:hint="eastAsia"/>
          <w:b/>
        </w:rPr>
        <w:t>保护中心建立备案主体预审成效跟踪评价机制，</w:t>
      </w:r>
      <w:r>
        <w:rPr>
          <w:rFonts w:ascii="宋体" w:hAnsi="宋体" w:cs="仿宋_GB2312" w:hint="eastAsia"/>
          <w:b/>
          <w:bCs/>
        </w:rPr>
        <w:t>对通过预审获得授权专利的审查周期、维持年限、实施转化情况</w:t>
      </w:r>
      <w:r>
        <w:rPr>
          <w:rFonts w:ascii="宋体" w:hAnsi="宋体" w:hint="eastAsia"/>
          <w:b/>
        </w:rPr>
        <w:t>，以及备案</w:t>
      </w:r>
      <w:r>
        <w:rPr>
          <w:rFonts w:ascii="宋体" w:hAnsi="宋体" w:cs="仿宋_GB2312" w:hint="eastAsia"/>
          <w:b/>
          <w:bCs/>
        </w:rPr>
        <w:t>主体对地方经济贡献等进行数据统计和成效评估。</w:t>
      </w:r>
    </w:p>
    <w:p w:rsidR="00FC7039" w:rsidRDefault="00FC7039" w:rsidP="00FC7039">
      <w:pPr>
        <w:numPr>
          <w:ilvl w:val="0"/>
          <w:numId w:val="1"/>
        </w:numPr>
        <w:adjustRightInd w:val="0"/>
        <w:spacing w:line="560" w:lineRule="exact"/>
        <w:ind w:left="0" w:firstLineChars="200" w:firstLine="635"/>
        <w:rPr>
          <w:rFonts w:ascii="宋体" w:hAnsi="宋体" w:cs="仿宋_GB2312"/>
          <w:b/>
          <w:bCs/>
        </w:rPr>
      </w:pPr>
      <w:r>
        <w:rPr>
          <w:rFonts w:ascii="宋体" w:hAnsi="宋体" w:cs="仿宋_GB2312" w:hint="eastAsia"/>
          <w:b/>
          <w:bCs/>
        </w:rPr>
        <w:t>备案主体存在下列情形之一的，保护中心予以提醒：</w:t>
      </w:r>
    </w:p>
    <w:p w:rsidR="00FC7039" w:rsidRDefault="00FC7039" w:rsidP="00FC7039">
      <w:pPr>
        <w:adjustRightInd w:val="0"/>
        <w:spacing w:line="560" w:lineRule="exact"/>
        <w:rPr>
          <w:rFonts w:ascii="宋体" w:hAnsi="宋体"/>
          <w:b/>
        </w:rPr>
      </w:pPr>
      <w:r>
        <w:rPr>
          <w:rFonts w:ascii="宋体" w:hAnsi="宋体" w:hint="eastAsia"/>
          <w:b/>
        </w:rPr>
        <w:t>（一）预审案件形式问题过多；</w:t>
      </w:r>
    </w:p>
    <w:p w:rsidR="00FC7039" w:rsidRDefault="00FC7039" w:rsidP="00FC7039">
      <w:pPr>
        <w:spacing w:line="590" w:lineRule="exact"/>
        <w:rPr>
          <w:rFonts w:ascii="宋体" w:hAnsi="宋体"/>
          <w:b/>
        </w:rPr>
      </w:pPr>
      <w:r>
        <w:rPr>
          <w:rFonts w:ascii="宋体" w:hAnsi="宋体" w:hint="eastAsia"/>
          <w:b/>
        </w:rPr>
        <w:t>（二）</w:t>
      </w:r>
      <w:bookmarkStart w:id="13" w:name="_Hlk207649241"/>
      <w:r>
        <w:rPr>
          <w:rFonts w:ascii="宋体" w:hAnsi="宋体" w:hint="eastAsia"/>
          <w:b/>
        </w:rPr>
        <w:t>违背申请预审服务承诺书中承诺；</w:t>
      </w:r>
    </w:p>
    <w:bookmarkEnd w:id="13"/>
    <w:p w:rsidR="00FC7039" w:rsidRDefault="00FC7039" w:rsidP="00FC7039">
      <w:pPr>
        <w:spacing w:line="590" w:lineRule="exact"/>
        <w:rPr>
          <w:rFonts w:ascii="宋体" w:hAnsi="宋体"/>
          <w:b/>
        </w:rPr>
      </w:pPr>
      <w:r>
        <w:rPr>
          <w:rFonts w:ascii="宋体" w:hAnsi="宋体" w:hint="eastAsia"/>
          <w:b/>
        </w:rPr>
        <w:t>（三）预审合格后获得授权的专利，不满一年转让的专利超过</w:t>
      </w:r>
      <w:r>
        <w:rPr>
          <w:rFonts w:ascii="宋体" w:hAnsi="宋体"/>
          <w:b/>
        </w:rPr>
        <w:t>3</w:t>
      </w:r>
      <w:r>
        <w:rPr>
          <w:rFonts w:ascii="宋体" w:hAnsi="宋体" w:hint="eastAsia"/>
          <w:b/>
        </w:rPr>
        <w:t>件或授权后维持时间低于</w:t>
      </w:r>
      <w:r>
        <w:rPr>
          <w:rFonts w:ascii="宋体" w:hAnsi="宋体" w:hint="eastAsia"/>
          <w:b/>
        </w:rPr>
        <w:t>2</w:t>
      </w:r>
      <w:r>
        <w:rPr>
          <w:rFonts w:ascii="宋体" w:hAnsi="宋体" w:hint="eastAsia"/>
          <w:b/>
        </w:rPr>
        <w:t>年，未报备或报备理由不充分；</w:t>
      </w:r>
    </w:p>
    <w:p w:rsidR="00FC7039" w:rsidRDefault="00FC7039" w:rsidP="00FC7039">
      <w:pPr>
        <w:spacing w:line="590" w:lineRule="exact"/>
        <w:rPr>
          <w:rFonts w:ascii="宋体" w:hAnsi="宋体"/>
          <w:b/>
        </w:rPr>
      </w:pPr>
      <w:r>
        <w:rPr>
          <w:rFonts w:ascii="宋体" w:hAnsi="宋体" w:hint="eastAsia"/>
          <w:b/>
        </w:rPr>
        <w:t>（四）与未备案主体共同提交预审申请案件超过</w:t>
      </w:r>
      <w:r>
        <w:rPr>
          <w:rFonts w:ascii="宋体" w:hAnsi="宋体" w:hint="eastAsia"/>
          <w:b/>
        </w:rPr>
        <w:t>3</w:t>
      </w:r>
      <w:r>
        <w:rPr>
          <w:rFonts w:ascii="宋体" w:hAnsi="宋体" w:hint="eastAsia"/>
          <w:b/>
        </w:rPr>
        <w:t>件，未报备或报备理由不充分；</w:t>
      </w:r>
    </w:p>
    <w:p w:rsidR="00FC7039" w:rsidRDefault="00FC7039" w:rsidP="00FC7039">
      <w:pPr>
        <w:spacing w:line="590" w:lineRule="exact"/>
        <w:rPr>
          <w:rFonts w:ascii="宋体" w:hAnsi="宋体"/>
          <w:b/>
        </w:rPr>
      </w:pPr>
      <w:r>
        <w:rPr>
          <w:rFonts w:ascii="宋体" w:hAnsi="宋体" w:hint="eastAsia"/>
          <w:b/>
        </w:rPr>
        <w:t>（五）被国家知识产权局初步认定或者通报为非正常专利申请，既不申诉也不主动撤回；</w:t>
      </w:r>
    </w:p>
    <w:p w:rsidR="00FC7039" w:rsidRDefault="00FC7039" w:rsidP="00FC7039">
      <w:pPr>
        <w:spacing w:line="590" w:lineRule="exact"/>
        <w:rPr>
          <w:rFonts w:ascii="宋体" w:hAnsi="宋体"/>
          <w:b/>
        </w:rPr>
      </w:pPr>
      <w:r>
        <w:rPr>
          <w:rFonts w:ascii="宋体" w:hAnsi="宋体" w:hint="eastAsia"/>
          <w:b/>
        </w:rPr>
        <w:t>（六）其他不规范情形。</w:t>
      </w:r>
    </w:p>
    <w:p w:rsidR="00FC7039" w:rsidRDefault="00FC7039" w:rsidP="00FC7039">
      <w:pPr>
        <w:numPr>
          <w:ilvl w:val="0"/>
          <w:numId w:val="1"/>
        </w:numPr>
        <w:adjustRightInd w:val="0"/>
        <w:spacing w:line="560" w:lineRule="exact"/>
        <w:ind w:left="0" w:firstLineChars="200" w:firstLine="635"/>
        <w:rPr>
          <w:rFonts w:ascii="宋体" w:hAnsi="宋体" w:cs="仿宋_GB2312"/>
          <w:b/>
          <w:bCs/>
        </w:rPr>
      </w:pPr>
      <w:r>
        <w:rPr>
          <w:rFonts w:ascii="宋体" w:hAnsi="宋体" w:cs="仿宋_GB2312" w:hint="eastAsia"/>
          <w:b/>
          <w:bCs/>
        </w:rPr>
        <w:t>备案主体存在以下情形之一的，在全省各保护中心暂停预审服务六个月：</w:t>
      </w:r>
    </w:p>
    <w:p w:rsidR="00FC7039" w:rsidRDefault="00FC7039" w:rsidP="00FC7039">
      <w:pPr>
        <w:spacing w:line="590" w:lineRule="exact"/>
        <w:rPr>
          <w:rFonts w:ascii="宋体" w:hAnsi="宋体" w:cs="仿宋_GB2312"/>
          <w:b/>
          <w:bCs/>
        </w:rPr>
      </w:pPr>
      <w:r>
        <w:rPr>
          <w:rFonts w:ascii="宋体" w:hAnsi="宋体" w:cs="仿宋_GB2312" w:hint="eastAsia"/>
          <w:b/>
          <w:bCs/>
        </w:rPr>
        <w:t>（一）一年内预审不合格比例超过</w:t>
      </w:r>
      <w:r>
        <w:rPr>
          <w:rFonts w:ascii="宋体" w:hAnsi="宋体" w:cs="仿宋_GB2312" w:hint="eastAsia"/>
          <w:b/>
          <w:bCs/>
        </w:rPr>
        <w:t>50%</w:t>
      </w:r>
      <w:r>
        <w:rPr>
          <w:rFonts w:ascii="宋体" w:hAnsi="宋体" w:cs="仿宋_GB2312" w:hint="eastAsia"/>
          <w:b/>
          <w:bCs/>
        </w:rPr>
        <w:t>；</w:t>
      </w:r>
    </w:p>
    <w:p w:rsidR="00FC7039" w:rsidRDefault="00FC7039" w:rsidP="00FC7039">
      <w:pPr>
        <w:spacing w:line="590" w:lineRule="exact"/>
        <w:rPr>
          <w:rFonts w:ascii="宋体" w:hAnsi="宋体" w:cs="仿宋_GB2312"/>
          <w:b/>
          <w:bCs/>
        </w:rPr>
      </w:pPr>
      <w:r>
        <w:rPr>
          <w:rFonts w:ascii="宋体" w:hAnsi="宋体" w:cs="仿宋_GB2312" w:hint="eastAsia"/>
          <w:b/>
          <w:bCs/>
        </w:rPr>
        <w:t>（二）</w:t>
      </w:r>
      <w:r>
        <w:rPr>
          <w:rFonts w:ascii="宋体" w:hAnsi="宋体" w:hint="eastAsia"/>
          <w:b/>
        </w:rPr>
        <w:t>提交不以保护创新为目的、不以真实发明创造活动为基础，为牟取不正当利益或者虚构创新业绩、服务绩效的预审请求；</w:t>
      </w:r>
    </w:p>
    <w:p w:rsidR="00FC7039" w:rsidRDefault="00FC7039" w:rsidP="00FC7039">
      <w:pPr>
        <w:adjustRightInd w:val="0"/>
        <w:spacing w:line="560" w:lineRule="exact"/>
        <w:rPr>
          <w:rFonts w:ascii="宋体" w:hAnsi="宋体" w:cs="仿宋_GB2312"/>
          <w:b/>
          <w:bCs/>
        </w:rPr>
      </w:pPr>
      <w:r>
        <w:rPr>
          <w:rFonts w:ascii="宋体" w:hAnsi="宋体" w:cs="仿宋_GB2312" w:hint="eastAsia"/>
          <w:b/>
          <w:bCs/>
        </w:rPr>
        <w:lastRenderedPageBreak/>
        <w:t>（三）一年内有</w:t>
      </w:r>
      <w:r>
        <w:rPr>
          <w:rFonts w:ascii="宋体" w:hAnsi="宋体" w:cs="仿宋_GB2312" w:hint="eastAsia"/>
          <w:b/>
          <w:bCs/>
        </w:rPr>
        <w:t>1</w:t>
      </w:r>
      <w:r>
        <w:rPr>
          <w:rFonts w:ascii="宋体" w:hAnsi="宋体" w:cs="仿宋_GB2312" w:hint="eastAsia"/>
          <w:b/>
          <w:bCs/>
        </w:rPr>
        <w:t>件国家知识产权局认定为非正常专利申请且申诉未通过；</w:t>
      </w:r>
    </w:p>
    <w:p w:rsidR="00FC7039" w:rsidRDefault="00FC7039" w:rsidP="00FC7039">
      <w:pPr>
        <w:adjustRightInd w:val="0"/>
        <w:spacing w:line="560" w:lineRule="exact"/>
        <w:rPr>
          <w:rFonts w:ascii="宋体" w:hAnsi="宋体" w:cs="仿宋_GB2312"/>
          <w:b/>
          <w:bCs/>
        </w:rPr>
      </w:pPr>
      <w:r>
        <w:rPr>
          <w:rFonts w:ascii="宋体" w:hAnsi="宋体" w:cs="仿宋_GB2312" w:hint="eastAsia"/>
          <w:b/>
          <w:bCs/>
        </w:rPr>
        <w:t>（四）</w:t>
      </w:r>
      <w:r>
        <w:rPr>
          <w:rFonts w:ascii="宋体" w:hAnsi="宋体" w:hint="eastAsia"/>
          <w:b/>
        </w:rPr>
        <w:t>提醒后拒不改正等</w:t>
      </w:r>
      <w:r>
        <w:rPr>
          <w:rFonts w:ascii="宋体" w:hAnsi="宋体" w:cs="仿宋_GB2312" w:hint="eastAsia"/>
          <w:b/>
          <w:bCs/>
        </w:rPr>
        <w:t>干扰或者不配合预审相关工作；</w:t>
      </w:r>
    </w:p>
    <w:p w:rsidR="00FC7039" w:rsidRDefault="00FC7039" w:rsidP="00FC7039">
      <w:pPr>
        <w:adjustRightInd w:val="0"/>
        <w:spacing w:line="560" w:lineRule="exact"/>
        <w:rPr>
          <w:rFonts w:ascii="宋体" w:hAnsi="宋体" w:cs="仿宋_GB2312"/>
          <w:b/>
          <w:bCs/>
        </w:rPr>
      </w:pPr>
      <w:r>
        <w:rPr>
          <w:rFonts w:ascii="宋体" w:hAnsi="宋体" w:cs="仿宋_GB2312" w:hint="eastAsia"/>
          <w:b/>
          <w:bCs/>
        </w:rPr>
        <w:t>（五）以隐瞒、欺骗的手段应对预审；</w:t>
      </w:r>
    </w:p>
    <w:p w:rsidR="00FC7039" w:rsidRDefault="00FC7039" w:rsidP="00FC7039">
      <w:pPr>
        <w:adjustRightInd w:val="0"/>
        <w:spacing w:line="560" w:lineRule="exact"/>
        <w:rPr>
          <w:rFonts w:ascii="宋体" w:hAnsi="宋体" w:cs="仿宋_GB2312"/>
          <w:b/>
          <w:bCs/>
        </w:rPr>
      </w:pPr>
      <w:r>
        <w:rPr>
          <w:rFonts w:ascii="宋体" w:hAnsi="宋体" w:cs="仿宋_GB2312" w:hint="eastAsia"/>
          <w:b/>
          <w:bCs/>
        </w:rPr>
        <w:t>（六）其他不良情形。</w:t>
      </w:r>
    </w:p>
    <w:p w:rsidR="00FC7039" w:rsidRDefault="00FC7039" w:rsidP="00FC7039">
      <w:pPr>
        <w:numPr>
          <w:ilvl w:val="0"/>
          <w:numId w:val="1"/>
        </w:numPr>
        <w:adjustRightInd w:val="0"/>
        <w:spacing w:line="560" w:lineRule="exact"/>
        <w:ind w:left="0" w:firstLineChars="200" w:firstLine="635"/>
        <w:rPr>
          <w:rFonts w:ascii="宋体" w:hAnsi="宋体" w:cs="仿宋_GB2312"/>
          <w:b/>
          <w:bCs/>
        </w:rPr>
      </w:pPr>
      <w:r>
        <w:rPr>
          <w:rFonts w:ascii="宋体" w:hAnsi="宋体" w:cs="仿宋_GB2312" w:hint="eastAsia"/>
          <w:b/>
          <w:bCs/>
        </w:rPr>
        <w:t>备案主体存在以下情形之一的，取消在全省各保护中心备案资格，且在三年内不再受理备案申请：</w:t>
      </w:r>
    </w:p>
    <w:p w:rsidR="00FC7039" w:rsidRDefault="00FC7039" w:rsidP="00FC7039">
      <w:pPr>
        <w:adjustRightInd w:val="0"/>
        <w:spacing w:line="560" w:lineRule="exact"/>
        <w:rPr>
          <w:rFonts w:ascii="宋体" w:hAnsi="宋体" w:cs="仿宋_GB2312"/>
          <w:b/>
          <w:bCs/>
        </w:rPr>
      </w:pPr>
      <w:r>
        <w:rPr>
          <w:rFonts w:ascii="宋体" w:hAnsi="宋体" w:cs="仿宋_GB2312" w:hint="eastAsia"/>
          <w:b/>
          <w:bCs/>
        </w:rPr>
        <w:t>（一）一年内预审不合格比例超过</w:t>
      </w:r>
      <w:r>
        <w:rPr>
          <w:rFonts w:ascii="宋体" w:hAnsi="宋体" w:cs="仿宋_GB2312" w:hint="eastAsia"/>
          <w:b/>
          <w:bCs/>
        </w:rPr>
        <w:t>70%</w:t>
      </w:r>
      <w:r>
        <w:rPr>
          <w:rFonts w:ascii="宋体" w:hAnsi="宋体" w:cs="仿宋_GB2312" w:hint="eastAsia"/>
          <w:b/>
          <w:bCs/>
        </w:rPr>
        <w:t>；</w:t>
      </w:r>
    </w:p>
    <w:p w:rsidR="00FC7039" w:rsidRDefault="00FC7039" w:rsidP="00FC7039">
      <w:pPr>
        <w:adjustRightInd w:val="0"/>
        <w:spacing w:line="560" w:lineRule="exact"/>
        <w:rPr>
          <w:rFonts w:ascii="宋体" w:hAnsi="宋体" w:cs="仿宋_GB2312"/>
          <w:b/>
          <w:bCs/>
        </w:rPr>
      </w:pPr>
      <w:r>
        <w:rPr>
          <w:rFonts w:ascii="宋体" w:hAnsi="宋体" w:cs="仿宋_GB2312" w:hint="eastAsia"/>
          <w:b/>
          <w:bCs/>
        </w:rPr>
        <w:t>（二）一年内有</w:t>
      </w:r>
      <w:r>
        <w:rPr>
          <w:rFonts w:ascii="宋体" w:hAnsi="宋体" w:cs="仿宋_GB2312" w:hint="eastAsia"/>
          <w:b/>
          <w:bCs/>
        </w:rPr>
        <w:t>2</w:t>
      </w:r>
      <w:r>
        <w:rPr>
          <w:rFonts w:ascii="宋体" w:hAnsi="宋体" w:cs="仿宋_GB2312" w:hint="eastAsia"/>
          <w:b/>
          <w:bCs/>
        </w:rPr>
        <w:t>件及以上国家知识产权局认定为非正常专利申请且申诉未通过；</w:t>
      </w:r>
    </w:p>
    <w:p w:rsidR="00FC7039" w:rsidRDefault="00FC7039" w:rsidP="00FC7039">
      <w:pPr>
        <w:adjustRightInd w:val="0"/>
        <w:spacing w:line="560" w:lineRule="exact"/>
        <w:rPr>
          <w:rFonts w:ascii="宋体" w:hAnsi="宋体" w:cs="仿宋_GB2312"/>
          <w:b/>
          <w:bCs/>
        </w:rPr>
      </w:pPr>
      <w:r>
        <w:rPr>
          <w:rFonts w:ascii="宋体" w:hAnsi="宋体" w:cs="仿宋_GB2312" w:hint="eastAsia"/>
          <w:b/>
          <w:bCs/>
        </w:rPr>
        <w:t>（三）恢复预审服务后，再次出现本办法第二十三条规定情形的；</w:t>
      </w:r>
    </w:p>
    <w:p w:rsidR="00FC7039" w:rsidRDefault="00FC7039" w:rsidP="00FC7039">
      <w:pPr>
        <w:adjustRightInd w:val="0"/>
        <w:spacing w:line="560" w:lineRule="exact"/>
        <w:rPr>
          <w:rFonts w:ascii="宋体" w:hAnsi="宋体" w:cs="仿宋_GB2312"/>
          <w:b/>
          <w:bCs/>
        </w:rPr>
      </w:pPr>
      <w:r>
        <w:rPr>
          <w:rFonts w:ascii="宋体" w:hAnsi="宋体" w:cs="仿宋_GB2312" w:hint="eastAsia"/>
          <w:b/>
          <w:bCs/>
        </w:rPr>
        <w:t>（四）严重干扰或者不配合预审相关工作。</w:t>
      </w:r>
    </w:p>
    <w:p w:rsidR="00FC7039" w:rsidRDefault="00FC7039" w:rsidP="00FC7039">
      <w:pPr>
        <w:numPr>
          <w:ilvl w:val="0"/>
          <w:numId w:val="1"/>
        </w:numPr>
        <w:adjustRightInd w:val="0"/>
        <w:spacing w:line="560" w:lineRule="exact"/>
        <w:ind w:left="0" w:firstLineChars="200" w:firstLine="635"/>
        <w:rPr>
          <w:rFonts w:ascii="宋体" w:hAnsi="宋体" w:cs="仿宋_GB2312"/>
          <w:b/>
          <w:bCs/>
        </w:rPr>
      </w:pPr>
      <w:r>
        <w:rPr>
          <w:rFonts w:ascii="宋体" w:hAnsi="宋体" w:cs="仿宋_GB2312" w:hint="eastAsia"/>
          <w:b/>
          <w:bCs/>
        </w:rPr>
        <w:t>代理机构存在以下情形之一的，在全省各保护中心暂停预审服务，并及时向中华全国专利代理师协会反馈情况：</w:t>
      </w:r>
    </w:p>
    <w:p w:rsidR="00FC7039" w:rsidRDefault="00FC7039" w:rsidP="00FC7039">
      <w:pPr>
        <w:adjustRightInd w:val="0"/>
        <w:spacing w:line="560" w:lineRule="exact"/>
        <w:rPr>
          <w:rFonts w:ascii="宋体" w:hAnsi="宋体"/>
          <w:b/>
        </w:rPr>
      </w:pPr>
      <w:r>
        <w:rPr>
          <w:rFonts w:ascii="宋体" w:hAnsi="宋体" w:cs="仿宋_GB2312" w:hint="eastAsia"/>
          <w:b/>
          <w:bCs/>
        </w:rPr>
        <w:t>（一）</w:t>
      </w:r>
      <w:r>
        <w:rPr>
          <w:rFonts w:ascii="宋体" w:hAnsi="宋体" w:hint="eastAsia"/>
          <w:b/>
        </w:rPr>
        <w:t>严重违背申请预审服务承诺书中承诺；</w:t>
      </w:r>
    </w:p>
    <w:p w:rsidR="00FC7039" w:rsidRDefault="00FC7039" w:rsidP="00FC7039">
      <w:pPr>
        <w:adjustRightInd w:val="0"/>
        <w:spacing w:line="560" w:lineRule="exact"/>
        <w:rPr>
          <w:rFonts w:ascii="宋体" w:hAnsi="宋体" w:cs="仿宋_GB2312"/>
          <w:b/>
          <w:bCs/>
        </w:rPr>
      </w:pPr>
      <w:r>
        <w:rPr>
          <w:rFonts w:ascii="宋体" w:hAnsi="宋体" w:cs="仿宋_GB2312" w:hint="eastAsia"/>
          <w:b/>
          <w:bCs/>
        </w:rPr>
        <w:t>（二）代理专利申请被国家知识产权局初步认定或者通报为非正常专利申请数量较多，或者</w:t>
      </w:r>
      <w:r>
        <w:rPr>
          <w:rFonts w:ascii="宋体" w:hAnsi="宋体" w:hint="eastAsia"/>
          <w:b/>
        </w:rPr>
        <w:t>既不申诉也不主动撤回</w:t>
      </w:r>
      <w:r>
        <w:rPr>
          <w:rFonts w:ascii="宋体" w:hAnsi="宋体" w:cs="仿宋_GB2312" w:hint="eastAsia"/>
          <w:b/>
          <w:bCs/>
        </w:rPr>
        <w:t>；</w:t>
      </w:r>
    </w:p>
    <w:p w:rsidR="00FC7039" w:rsidRDefault="00FC7039" w:rsidP="00FC7039">
      <w:pPr>
        <w:adjustRightInd w:val="0"/>
        <w:spacing w:line="560" w:lineRule="exact"/>
        <w:rPr>
          <w:rFonts w:ascii="宋体" w:hAnsi="宋体" w:cs="仿宋_GB2312"/>
          <w:b/>
          <w:bCs/>
        </w:rPr>
      </w:pPr>
      <w:r>
        <w:rPr>
          <w:rFonts w:ascii="宋体" w:hAnsi="宋体" w:cs="仿宋_GB2312" w:hint="eastAsia"/>
          <w:b/>
          <w:bCs/>
        </w:rPr>
        <w:t>（三）允许其他单位或个人以本代理机构名义提交预审案件；</w:t>
      </w:r>
    </w:p>
    <w:p w:rsidR="00FC7039" w:rsidRDefault="00FC7039" w:rsidP="00FC7039">
      <w:pPr>
        <w:adjustRightInd w:val="0"/>
        <w:spacing w:line="560" w:lineRule="exact"/>
        <w:rPr>
          <w:rFonts w:ascii="宋体" w:hAnsi="宋体"/>
          <w:b/>
        </w:rPr>
      </w:pPr>
      <w:r>
        <w:rPr>
          <w:rFonts w:ascii="宋体" w:hAnsi="宋体" w:cs="仿宋_GB2312" w:hint="eastAsia"/>
          <w:b/>
          <w:bCs/>
        </w:rPr>
        <w:t>（四）</w:t>
      </w:r>
      <w:r>
        <w:rPr>
          <w:rFonts w:ascii="宋体" w:hAnsi="宋体" w:hint="eastAsia"/>
          <w:b/>
        </w:rPr>
        <w:t>被列入经营异常名录或严重违法失信名单；</w:t>
      </w:r>
    </w:p>
    <w:p w:rsidR="00FC7039" w:rsidRDefault="00FC7039" w:rsidP="00FC7039">
      <w:pPr>
        <w:adjustRightInd w:val="0"/>
        <w:spacing w:line="560" w:lineRule="exact"/>
        <w:rPr>
          <w:rFonts w:ascii="宋体" w:hAnsi="宋体" w:cs="仿宋_GB2312"/>
          <w:b/>
          <w:bCs/>
        </w:rPr>
      </w:pPr>
      <w:r>
        <w:rPr>
          <w:rFonts w:ascii="宋体" w:hAnsi="宋体" w:cs="仿宋_GB2312" w:hint="eastAsia"/>
          <w:b/>
          <w:bCs/>
        </w:rPr>
        <w:t>（五）其他不良情形。</w:t>
      </w:r>
    </w:p>
    <w:p w:rsidR="00FC7039" w:rsidRDefault="00FC7039" w:rsidP="00FC7039">
      <w:pPr>
        <w:numPr>
          <w:ilvl w:val="0"/>
          <w:numId w:val="1"/>
        </w:numPr>
        <w:adjustRightInd w:val="0"/>
        <w:spacing w:line="560" w:lineRule="exact"/>
        <w:ind w:left="0" w:firstLineChars="200" w:firstLine="635"/>
        <w:rPr>
          <w:rFonts w:ascii="宋体" w:hAnsi="宋体" w:cs="仿宋_GB2312"/>
          <w:b/>
          <w:bCs/>
        </w:rPr>
      </w:pPr>
      <w:r>
        <w:rPr>
          <w:rFonts w:ascii="宋体" w:hAnsi="宋体" w:cs="仿宋_GB2312" w:hint="eastAsia"/>
          <w:b/>
          <w:bCs/>
        </w:rPr>
        <w:t>江苏省保护中心负责汇总省内各保护中心关</w:t>
      </w:r>
      <w:r>
        <w:rPr>
          <w:rFonts w:ascii="宋体" w:hAnsi="宋体" w:cs="仿宋_GB2312" w:hint="eastAsia"/>
          <w:b/>
          <w:bCs/>
        </w:rPr>
        <w:lastRenderedPageBreak/>
        <w:t>于备案主体和代理机构提醒情况、违规情形等信息，及时作出处理建议，报省知识产权局核准后，及时通知相关备案主体和代理机构。</w:t>
      </w:r>
    </w:p>
    <w:p w:rsidR="00FC7039" w:rsidRDefault="00FC7039" w:rsidP="00FC7039">
      <w:pPr>
        <w:numPr>
          <w:ilvl w:val="0"/>
          <w:numId w:val="1"/>
        </w:numPr>
        <w:adjustRightInd w:val="0"/>
        <w:spacing w:line="560" w:lineRule="exact"/>
        <w:ind w:left="0" w:firstLineChars="200" w:firstLine="635"/>
        <w:rPr>
          <w:rFonts w:ascii="宋体" w:hAnsi="宋体" w:cs="仿宋_GB2312"/>
          <w:b/>
          <w:bCs/>
        </w:rPr>
      </w:pPr>
      <w:r>
        <w:rPr>
          <w:rFonts w:ascii="宋体" w:hAnsi="宋体" w:cs="仿宋_GB2312" w:hint="eastAsia"/>
          <w:b/>
          <w:bCs/>
        </w:rPr>
        <w:t>备案主体对处理结果有异议的，可在收到处理结果五个工作日内，向江苏省保护中心进行</w:t>
      </w:r>
      <w:r>
        <w:rPr>
          <w:rFonts w:ascii="宋体" w:hAnsi="宋体" w:hint="eastAsia"/>
          <w:b/>
        </w:rPr>
        <w:t>陈述申辩，</w:t>
      </w:r>
      <w:r>
        <w:rPr>
          <w:rFonts w:ascii="宋体" w:hAnsi="宋体" w:cs="仿宋_GB2312" w:hint="eastAsia"/>
          <w:b/>
          <w:bCs/>
        </w:rPr>
        <w:t>并提供证明材料。</w:t>
      </w:r>
    </w:p>
    <w:p w:rsidR="00FC7039" w:rsidRDefault="00FC7039" w:rsidP="00FC7039">
      <w:pPr>
        <w:numPr>
          <w:ilvl w:val="0"/>
          <w:numId w:val="1"/>
        </w:numPr>
        <w:adjustRightInd w:val="0"/>
        <w:spacing w:line="560" w:lineRule="exact"/>
        <w:ind w:left="0" w:firstLineChars="200" w:firstLine="635"/>
        <w:rPr>
          <w:rFonts w:ascii="宋体" w:hAnsi="宋体" w:cs="仿宋_GB2312"/>
          <w:b/>
          <w:bCs/>
        </w:rPr>
      </w:pPr>
      <w:r>
        <w:rPr>
          <w:rFonts w:ascii="宋体" w:hAnsi="宋体" w:hint="eastAsia"/>
          <w:b/>
        </w:rPr>
        <w:t>暂停服务、取消备案资格的备案主体和代理机构，应当按照要求进行整改，可在消除相关异常因素、满足相关时限要求及备案注册条件的前提下，向江苏省保护中心提交书面恢复预审服务申请。江苏省保护中心根据备案主体整改情况作出处理决定。</w:t>
      </w:r>
    </w:p>
    <w:p w:rsidR="00FC7039" w:rsidRDefault="00FC7039" w:rsidP="00FC7039">
      <w:pPr>
        <w:numPr>
          <w:ilvl w:val="0"/>
          <w:numId w:val="1"/>
        </w:numPr>
        <w:adjustRightInd w:val="0"/>
        <w:spacing w:line="560" w:lineRule="exact"/>
        <w:ind w:left="0" w:firstLineChars="200" w:firstLine="635"/>
        <w:rPr>
          <w:rFonts w:ascii="宋体" w:hAnsi="宋体" w:cs="仿宋_GB2312"/>
          <w:b/>
          <w:bCs/>
        </w:rPr>
      </w:pPr>
      <w:r>
        <w:rPr>
          <w:rFonts w:ascii="宋体" w:hAnsi="宋体" w:cs="仿宋_GB2312" w:hint="eastAsia"/>
          <w:b/>
          <w:bCs/>
        </w:rPr>
        <w:t>备案主体自备案注册通过之日起，两年内在省内各保护中心均未提交任何预审案件的，视为放弃备案资格。</w:t>
      </w:r>
    </w:p>
    <w:p w:rsidR="00FC7039" w:rsidRDefault="00FC7039" w:rsidP="00FC7039">
      <w:pPr>
        <w:adjustRightInd w:val="0"/>
        <w:spacing w:beforeLines="50" w:afterLines="50" w:line="560" w:lineRule="exact"/>
        <w:ind w:firstLine="0"/>
        <w:jc w:val="center"/>
        <w:rPr>
          <w:rFonts w:ascii="宋体" w:eastAsia="方正黑体_GBK" w:hAnsi="宋体" w:cs="黑体"/>
          <w:b/>
          <w:bCs/>
        </w:rPr>
      </w:pPr>
      <w:r>
        <w:rPr>
          <w:rFonts w:ascii="宋体" w:eastAsia="方正黑体_GBK" w:hAnsi="宋体" w:cs="黑体" w:hint="eastAsia"/>
          <w:b/>
          <w:bCs/>
        </w:rPr>
        <w:t>第六章</w:t>
      </w:r>
      <w:r>
        <w:rPr>
          <w:rFonts w:ascii="宋体" w:eastAsia="方正黑体_GBK" w:hAnsi="宋体" w:cs="黑体" w:hint="eastAsia"/>
          <w:b/>
          <w:bCs/>
        </w:rPr>
        <w:t xml:space="preserve">  </w:t>
      </w:r>
      <w:r>
        <w:rPr>
          <w:rFonts w:ascii="宋体" w:eastAsia="方正黑体_GBK" w:hAnsi="宋体" w:cs="黑体" w:hint="eastAsia"/>
          <w:b/>
          <w:bCs/>
        </w:rPr>
        <w:t>附则</w:t>
      </w:r>
    </w:p>
    <w:p w:rsidR="00FC7039" w:rsidRDefault="00FC7039" w:rsidP="00FC7039">
      <w:pPr>
        <w:numPr>
          <w:ilvl w:val="0"/>
          <w:numId w:val="1"/>
        </w:numPr>
        <w:adjustRightInd w:val="0"/>
        <w:spacing w:line="560" w:lineRule="exact"/>
        <w:ind w:left="0" w:firstLineChars="200" w:firstLine="635"/>
        <w:rPr>
          <w:rFonts w:ascii="宋体" w:hAnsi="宋体" w:cs="仿宋_GB2312"/>
          <w:b/>
          <w:bCs/>
        </w:rPr>
      </w:pPr>
      <w:r>
        <w:rPr>
          <w:rFonts w:ascii="宋体" w:hAnsi="宋体" w:cs="仿宋_GB2312" w:hint="eastAsia"/>
          <w:b/>
          <w:bCs/>
        </w:rPr>
        <w:t>本办法由江苏省知识产权局负责解释。</w:t>
      </w:r>
    </w:p>
    <w:p w:rsidR="00FC7039" w:rsidRDefault="00FC7039" w:rsidP="00FC7039">
      <w:pPr>
        <w:numPr>
          <w:ilvl w:val="0"/>
          <w:numId w:val="1"/>
        </w:numPr>
        <w:adjustRightInd w:val="0"/>
        <w:spacing w:line="560" w:lineRule="exact"/>
        <w:ind w:left="0" w:firstLineChars="200" w:firstLine="635"/>
        <w:rPr>
          <w:rFonts w:ascii="宋体" w:hAnsi="宋体" w:cs="仿宋_GB2312"/>
          <w:b/>
          <w:bCs/>
        </w:rPr>
      </w:pPr>
      <w:r>
        <w:rPr>
          <w:rFonts w:ascii="宋体" w:hAnsi="宋体" w:cs="仿宋_GB2312" w:hint="eastAsia"/>
          <w:b/>
          <w:bCs/>
        </w:rPr>
        <w:t>本办法自</w:t>
      </w:r>
      <w:r>
        <w:rPr>
          <w:rFonts w:ascii="宋体" w:hAnsi="宋体" w:cs="仿宋_GB2312" w:hint="eastAsia"/>
          <w:b/>
          <w:bCs/>
        </w:rPr>
        <w:t>2025</w:t>
      </w:r>
      <w:r>
        <w:rPr>
          <w:rFonts w:ascii="宋体" w:hAnsi="宋体" w:cs="仿宋_GB2312" w:hint="eastAsia"/>
          <w:b/>
          <w:bCs/>
        </w:rPr>
        <w:t>年</w:t>
      </w:r>
      <w:r>
        <w:rPr>
          <w:rFonts w:ascii="宋体" w:hAnsi="宋体" w:cs="仿宋_GB2312" w:hint="eastAsia"/>
          <w:b/>
          <w:bCs/>
        </w:rPr>
        <w:t>10</w:t>
      </w:r>
      <w:r>
        <w:rPr>
          <w:rFonts w:ascii="宋体" w:hAnsi="宋体" w:cs="仿宋_GB2312" w:hint="eastAsia"/>
          <w:b/>
          <w:bCs/>
        </w:rPr>
        <w:t>月</w:t>
      </w:r>
      <w:r>
        <w:rPr>
          <w:rFonts w:ascii="宋体" w:hAnsi="宋体" w:cs="仿宋_GB2312" w:hint="eastAsia"/>
          <w:b/>
          <w:bCs/>
        </w:rPr>
        <w:t>1</w:t>
      </w:r>
      <w:r>
        <w:rPr>
          <w:rFonts w:ascii="宋体" w:hAnsi="宋体" w:cs="仿宋_GB2312" w:hint="eastAsia"/>
          <w:b/>
          <w:bCs/>
        </w:rPr>
        <w:t>日起施行。此前</w:t>
      </w:r>
      <w:bookmarkStart w:id="14" w:name="_Hlk207035704"/>
      <w:r>
        <w:rPr>
          <w:rFonts w:ascii="宋体" w:hAnsi="宋体" w:cs="仿宋_GB2312" w:hint="eastAsia"/>
          <w:b/>
          <w:bCs/>
        </w:rPr>
        <w:t>省内各保护中心发布的其他相关规定与本办法不一致的，按本办法执行</w:t>
      </w:r>
      <w:bookmarkEnd w:id="14"/>
      <w:r>
        <w:rPr>
          <w:rFonts w:ascii="宋体" w:hAnsi="宋体" w:cs="仿宋_GB2312" w:hint="eastAsia"/>
          <w:b/>
          <w:bCs/>
        </w:rPr>
        <w:t>。</w:t>
      </w:r>
    </w:p>
    <w:p w:rsidR="00FC7039" w:rsidRDefault="00FC7039" w:rsidP="00FC7039">
      <w:pPr>
        <w:tabs>
          <w:tab w:val="left" w:pos="1416"/>
        </w:tabs>
        <w:adjustRightInd w:val="0"/>
        <w:spacing w:line="560" w:lineRule="exact"/>
        <w:rPr>
          <w:rFonts w:ascii="宋体" w:hAnsi="宋体" w:cs="仿宋_GB2312"/>
          <w:b/>
          <w:bCs/>
        </w:rPr>
      </w:pPr>
    </w:p>
    <w:p w:rsidR="00FC7039" w:rsidRDefault="00FC7039" w:rsidP="00FC7039">
      <w:pPr>
        <w:spacing w:line="590" w:lineRule="exact"/>
        <w:rPr>
          <w:rFonts w:ascii="宋体" w:hAnsi="宋体"/>
          <w:b/>
        </w:rPr>
      </w:pPr>
      <w:r>
        <w:rPr>
          <w:rFonts w:ascii="宋体" w:hAnsi="宋体" w:hint="eastAsia"/>
          <w:b/>
        </w:rPr>
        <w:t>附件：申请预审服务承诺书</w:t>
      </w:r>
    </w:p>
    <w:p w:rsidR="00FC7039" w:rsidRDefault="00FC7039" w:rsidP="00FC7039">
      <w:pPr>
        <w:widowControl/>
        <w:autoSpaceDE/>
        <w:autoSpaceDN/>
        <w:snapToGrid/>
        <w:spacing w:line="240" w:lineRule="auto"/>
        <w:ind w:firstLine="0"/>
        <w:jc w:val="left"/>
        <w:rPr>
          <w:rFonts w:ascii="宋体" w:hAnsi="宋体"/>
          <w:b/>
        </w:rPr>
      </w:pPr>
      <w:r>
        <w:rPr>
          <w:rFonts w:ascii="宋体" w:hAnsi="宋体"/>
          <w:b/>
        </w:rPr>
        <w:br w:type="page"/>
      </w:r>
    </w:p>
    <w:p w:rsidR="00FC7039" w:rsidRDefault="00FC7039" w:rsidP="00FC7039">
      <w:pPr>
        <w:spacing w:line="590" w:lineRule="exact"/>
        <w:ind w:firstLine="0"/>
        <w:rPr>
          <w:rFonts w:ascii="宋体" w:eastAsia="方正黑体_GBK" w:hAnsi="宋体"/>
          <w:b/>
        </w:rPr>
      </w:pPr>
      <w:r>
        <w:rPr>
          <w:rFonts w:ascii="宋体" w:eastAsia="方正黑体_GBK" w:hAnsi="宋体" w:hint="eastAsia"/>
          <w:b/>
        </w:rPr>
        <w:lastRenderedPageBreak/>
        <w:t>附件</w:t>
      </w:r>
    </w:p>
    <w:p w:rsidR="00FC7039" w:rsidRDefault="00FC7039" w:rsidP="00FC7039">
      <w:pPr>
        <w:spacing w:line="590" w:lineRule="exact"/>
        <w:ind w:firstLine="0"/>
        <w:rPr>
          <w:rFonts w:ascii="宋体" w:hAnsi="宋体"/>
          <w:b/>
        </w:rPr>
      </w:pPr>
    </w:p>
    <w:p w:rsidR="00FC7039" w:rsidRDefault="00FC7039" w:rsidP="00FC7039">
      <w:pPr>
        <w:spacing w:line="590" w:lineRule="exact"/>
        <w:ind w:firstLine="0"/>
        <w:jc w:val="center"/>
        <w:rPr>
          <w:rFonts w:ascii="宋体" w:eastAsia="方正小标宋_GBK" w:hAnsi="宋体"/>
          <w:b/>
          <w:sz w:val="44"/>
          <w:szCs w:val="44"/>
        </w:rPr>
      </w:pPr>
      <w:r>
        <w:rPr>
          <w:rFonts w:ascii="宋体" w:eastAsia="方正小标宋_GBK" w:hAnsi="宋体" w:hint="eastAsia"/>
          <w:b/>
          <w:sz w:val="44"/>
          <w:szCs w:val="44"/>
        </w:rPr>
        <w:t>申请预审服务承诺书</w:t>
      </w:r>
    </w:p>
    <w:p w:rsidR="00FC7039" w:rsidRDefault="00FC7039" w:rsidP="00FC7039">
      <w:pPr>
        <w:spacing w:line="590" w:lineRule="exact"/>
        <w:ind w:firstLine="0"/>
        <w:jc w:val="center"/>
        <w:rPr>
          <w:rFonts w:ascii="宋体" w:eastAsia="方正小标宋_GBK" w:hAnsi="宋体"/>
          <w:b/>
          <w:sz w:val="44"/>
          <w:szCs w:val="44"/>
        </w:rPr>
      </w:pPr>
    </w:p>
    <w:p w:rsidR="00FC7039" w:rsidRDefault="00FC7039" w:rsidP="00FC7039">
      <w:pPr>
        <w:spacing w:line="540" w:lineRule="exact"/>
        <w:ind w:firstLineChars="200" w:firstLine="635"/>
        <w:rPr>
          <w:rFonts w:ascii="宋体" w:hAnsi="宋体"/>
          <w:b/>
          <w:bCs/>
        </w:rPr>
      </w:pPr>
      <w:r>
        <w:rPr>
          <w:rFonts w:ascii="宋体" w:hAnsi="宋体" w:hint="eastAsia"/>
          <w:b/>
          <w:bCs/>
        </w:rPr>
        <w:t>我单位（机构）自愿申请获得江苏省内国家级知识产权保护中心（以下简称“保护中心”）的专利申请预审服务，知悉并愿意承担专利申请预审涉及的有关法律风险，承诺不提交虚假材料，自愿遵守如下事项，对于在专利申请时和审查过程中放弃的权益和机会，不在后续法律程序中主张享有。</w:t>
      </w:r>
    </w:p>
    <w:p w:rsidR="00FC7039" w:rsidRDefault="00FC7039" w:rsidP="00FC7039">
      <w:pPr>
        <w:spacing w:line="540" w:lineRule="exact"/>
        <w:ind w:firstLineChars="200" w:firstLine="632"/>
        <w:rPr>
          <w:rFonts w:ascii="宋体" w:eastAsia="方正黑体_GBK" w:hAnsi="宋体"/>
        </w:rPr>
      </w:pPr>
      <w:r>
        <w:rPr>
          <w:rFonts w:ascii="宋体" w:eastAsia="方正黑体_GBK" w:hAnsi="宋体" w:hint="eastAsia"/>
        </w:rPr>
        <w:t>一、专利申请预审阶段</w:t>
      </w:r>
    </w:p>
    <w:p w:rsidR="00FC7039" w:rsidRDefault="00FC7039" w:rsidP="00FC7039">
      <w:pPr>
        <w:spacing w:line="540" w:lineRule="exact"/>
        <w:ind w:firstLineChars="200" w:firstLine="635"/>
        <w:rPr>
          <w:rFonts w:ascii="宋体" w:hAnsi="宋体"/>
          <w:b/>
          <w:bCs/>
        </w:rPr>
      </w:pPr>
      <w:r>
        <w:rPr>
          <w:rFonts w:ascii="宋体" w:hAnsi="宋体" w:hint="eastAsia"/>
          <w:b/>
          <w:bCs/>
        </w:rPr>
        <w:t>（一）提交符合要求的</w:t>
      </w:r>
      <w:r>
        <w:rPr>
          <w:rFonts w:ascii="宋体" w:hAnsi="宋体" w:hint="eastAsia"/>
          <w:b/>
          <w:bCs/>
        </w:rPr>
        <w:t>XML</w:t>
      </w:r>
      <w:r>
        <w:rPr>
          <w:rFonts w:ascii="宋体" w:hAnsi="宋体" w:hint="eastAsia"/>
          <w:b/>
          <w:bCs/>
        </w:rPr>
        <w:t>格式申请文件。</w:t>
      </w:r>
    </w:p>
    <w:p w:rsidR="00FC7039" w:rsidRDefault="00FC7039" w:rsidP="00FC7039">
      <w:pPr>
        <w:spacing w:line="540" w:lineRule="exact"/>
        <w:ind w:firstLineChars="200" w:firstLine="635"/>
        <w:rPr>
          <w:rFonts w:ascii="宋体" w:hAnsi="宋体"/>
          <w:b/>
          <w:bCs/>
        </w:rPr>
      </w:pPr>
      <w:r>
        <w:rPr>
          <w:rFonts w:ascii="宋体" w:hAnsi="宋体" w:hint="eastAsia"/>
          <w:b/>
          <w:bCs/>
        </w:rPr>
        <w:t>（二）提交专利申请预审请求不涉及以下情形：按照专利合作条约（</w:t>
      </w:r>
      <w:r>
        <w:rPr>
          <w:rFonts w:ascii="宋体" w:hAnsi="宋体" w:hint="eastAsia"/>
          <w:b/>
          <w:bCs/>
        </w:rPr>
        <w:t>PCT</w:t>
      </w:r>
      <w:r>
        <w:rPr>
          <w:rFonts w:ascii="宋体" w:hAnsi="宋体" w:hint="eastAsia"/>
          <w:b/>
          <w:bCs/>
        </w:rPr>
        <w:t>）提出的专利国际申请、进入中国国家阶段的</w:t>
      </w:r>
      <w:r>
        <w:rPr>
          <w:rFonts w:ascii="宋体" w:hAnsi="宋体" w:hint="eastAsia"/>
          <w:b/>
          <w:bCs/>
        </w:rPr>
        <w:t xml:space="preserve">PCT </w:t>
      </w:r>
      <w:r>
        <w:rPr>
          <w:rFonts w:ascii="宋体" w:hAnsi="宋体" w:hint="eastAsia"/>
          <w:b/>
          <w:bCs/>
        </w:rPr>
        <w:t>国际申请、根据《专利法》第九条第一款所规定的同一申请人同日对同样的发明创造所申请的实用新型专利和发明专利、分案申请和根据《专利法实施细则》第七条所规定的需要进行保密审查的申请。</w:t>
      </w:r>
    </w:p>
    <w:p w:rsidR="00FC7039" w:rsidRDefault="00FC7039" w:rsidP="00FC7039">
      <w:pPr>
        <w:spacing w:line="540" w:lineRule="exact"/>
        <w:ind w:firstLineChars="200" w:firstLine="635"/>
        <w:rPr>
          <w:rFonts w:ascii="宋体" w:hAnsi="宋体"/>
          <w:b/>
          <w:bCs/>
        </w:rPr>
      </w:pPr>
      <w:r>
        <w:rPr>
          <w:rFonts w:ascii="宋体" w:hAnsi="宋体" w:hint="eastAsia"/>
          <w:b/>
          <w:bCs/>
        </w:rPr>
        <w:t>（三）提交专利申请不涉及《规范申请专利行为的规定（</w:t>
      </w:r>
      <w:r>
        <w:rPr>
          <w:rFonts w:ascii="宋体" w:hAnsi="宋体" w:hint="eastAsia"/>
          <w:b/>
          <w:bCs/>
        </w:rPr>
        <w:t>2</w:t>
      </w:r>
      <w:r>
        <w:rPr>
          <w:rFonts w:ascii="宋体" w:hAnsi="宋体"/>
          <w:b/>
          <w:bCs/>
        </w:rPr>
        <w:t>023</w:t>
      </w:r>
      <w:r>
        <w:rPr>
          <w:rFonts w:ascii="宋体" w:hAnsi="宋体" w:hint="eastAsia"/>
          <w:b/>
          <w:bCs/>
        </w:rPr>
        <w:t>）》（国家知识产权局</w:t>
      </w:r>
      <w:r>
        <w:rPr>
          <w:rFonts w:ascii="宋体" w:hAnsi="宋体" w:hint="eastAsia"/>
          <w:b/>
          <w:bCs/>
        </w:rPr>
        <w:t>7</w:t>
      </w:r>
      <w:r>
        <w:rPr>
          <w:rFonts w:ascii="宋体" w:hAnsi="宋体"/>
          <w:b/>
          <w:bCs/>
        </w:rPr>
        <w:t>7</w:t>
      </w:r>
      <w:r>
        <w:rPr>
          <w:rFonts w:ascii="宋体" w:hAnsi="宋体" w:hint="eastAsia"/>
          <w:b/>
          <w:bCs/>
        </w:rPr>
        <w:t>号令）所规定的非正常专利申请行为。</w:t>
      </w:r>
    </w:p>
    <w:p w:rsidR="00FC7039" w:rsidRDefault="00FC7039" w:rsidP="00FC7039">
      <w:pPr>
        <w:spacing w:line="540" w:lineRule="exact"/>
        <w:ind w:firstLineChars="200" w:firstLine="635"/>
        <w:rPr>
          <w:rFonts w:ascii="宋体" w:hAnsi="宋体"/>
          <w:b/>
          <w:bCs/>
        </w:rPr>
      </w:pPr>
      <w:r>
        <w:rPr>
          <w:rFonts w:ascii="宋体" w:hAnsi="宋体" w:hint="eastAsia"/>
          <w:b/>
          <w:bCs/>
        </w:rPr>
        <w:t>（四）不对同一专利申请重复多次提交预审。</w:t>
      </w:r>
    </w:p>
    <w:p w:rsidR="00FC7039" w:rsidRDefault="00FC7039" w:rsidP="00FC7039">
      <w:pPr>
        <w:spacing w:line="540" w:lineRule="exact"/>
        <w:ind w:firstLineChars="200" w:firstLine="635"/>
        <w:rPr>
          <w:rFonts w:ascii="宋体" w:hAnsi="宋体"/>
          <w:b/>
          <w:bCs/>
        </w:rPr>
      </w:pPr>
      <w:r>
        <w:rPr>
          <w:rFonts w:ascii="宋体" w:hAnsi="宋体" w:hint="eastAsia"/>
          <w:b/>
          <w:bCs/>
        </w:rPr>
        <w:t>（五）在预审过程中仅针对预审审查意见通知书中指出的缺陷进行修改，需作出其他修改的，提前与保护中心沟通。</w:t>
      </w:r>
    </w:p>
    <w:p w:rsidR="00FC7039" w:rsidRDefault="00FC7039" w:rsidP="00FC7039">
      <w:pPr>
        <w:spacing w:line="540" w:lineRule="exact"/>
        <w:ind w:firstLineChars="200" w:firstLine="635"/>
        <w:rPr>
          <w:rFonts w:ascii="宋体" w:hAnsi="宋体"/>
          <w:b/>
          <w:bCs/>
        </w:rPr>
      </w:pPr>
      <w:r>
        <w:rPr>
          <w:rFonts w:ascii="宋体" w:hAnsi="宋体" w:hint="eastAsia"/>
          <w:b/>
          <w:bCs/>
        </w:rPr>
        <w:lastRenderedPageBreak/>
        <w:t>（六）积极配合保护中心提出的电话讨论或者当面讨论的约请，并及时提交相关材料。</w:t>
      </w:r>
    </w:p>
    <w:p w:rsidR="00FC7039" w:rsidRDefault="00FC7039" w:rsidP="00FC7039">
      <w:pPr>
        <w:spacing w:line="540" w:lineRule="exact"/>
        <w:ind w:firstLineChars="200" w:firstLine="632"/>
        <w:rPr>
          <w:rFonts w:ascii="宋体" w:eastAsia="方正黑体_GBK" w:hAnsi="宋体"/>
        </w:rPr>
      </w:pPr>
      <w:r>
        <w:rPr>
          <w:rFonts w:ascii="宋体" w:eastAsia="方正黑体_GBK" w:hAnsi="宋体" w:hint="eastAsia"/>
        </w:rPr>
        <w:t>二、在专利申请预审通过后正式向国家知识产权局提交阶段</w:t>
      </w:r>
    </w:p>
    <w:p w:rsidR="00FC7039" w:rsidRDefault="00FC7039" w:rsidP="00FC7039">
      <w:pPr>
        <w:spacing w:line="540" w:lineRule="exact"/>
        <w:ind w:firstLineChars="200" w:firstLine="635"/>
        <w:rPr>
          <w:rFonts w:ascii="宋体" w:hAnsi="宋体"/>
          <w:b/>
          <w:bCs/>
        </w:rPr>
      </w:pPr>
      <w:r>
        <w:rPr>
          <w:rFonts w:ascii="宋体" w:hAnsi="宋体" w:hint="eastAsia"/>
          <w:b/>
          <w:bCs/>
        </w:rPr>
        <w:t>（一）在尚未收到保护中心的预审结论前，不向国家知识产权局提交专利申请。</w:t>
      </w:r>
    </w:p>
    <w:p w:rsidR="00FC7039" w:rsidRDefault="00FC7039" w:rsidP="00FC7039">
      <w:pPr>
        <w:spacing w:line="540" w:lineRule="exact"/>
        <w:ind w:firstLineChars="200" w:firstLine="635"/>
        <w:rPr>
          <w:rFonts w:ascii="宋体" w:hAnsi="宋体"/>
          <w:b/>
          <w:bCs/>
        </w:rPr>
      </w:pPr>
      <w:r>
        <w:rPr>
          <w:rFonts w:ascii="宋体" w:hAnsi="宋体" w:hint="eastAsia"/>
          <w:b/>
          <w:bCs/>
        </w:rPr>
        <w:t>（二）经预审通过的专利申请，在收到预审通过通知书之日起</w:t>
      </w:r>
      <w:r>
        <w:rPr>
          <w:rFonts w:ascii="宋体" w:hAnsi="宋体" w:hint="eastAsia"/>
          <w:b/>
          <w:bCs/>
        </w:rPr>
        <w:t>3</w:t>
      </w:r>
      <w:r>
        <w:rPr>
          <w:rFonts w:ascii="宋体" w:hAnsi="宋体" w:hint="eastAsia"/>
          <w:b/>
          <w:bCs/>
        </w:rPr>
        <w:t>个工作日内，通过国家知识产权局“专利业务办理系统”将预审通过的文件以</w:t>
      </w:r>
      <w:r>
        <w:rPr>
          <w:rFonts w:ascii="宋体" w:hAnsi="宋体" w:hint="eastAsia"/>
          <w:b/>
          <w:bCs/>
        </w:rPr>
        <w:t>XML</w:t>
      </w:r>
      <w:r>
        <w:rPr>
          <w:rFonts w:ascii="宋体" w:hAnsi="宋体" w:hint="eastAsia"/>
          <w:b/>
          <w:bCs/>
        </w:rPr>
        <w:t>格式向国家知识产权局提交电子申请。</w:t>
      </w:r>
    </w:p>
    <w:p w:rsidR="00FC7039" w:rsidRDefault="00FC7039" w:rsidP="00FC7039">
      <w:pPr>
        <w:spacing w:line="540" w:lineRule="exact"/>
        <w:ind w:firstLineChars="200" w:firstLine="635"/>
        <w:rPr>
          <w:rFonts w:ascii="宋体" w:hAnsi="宋体"/>
          <w:b/>
          <w:bCs/>
        </w:rPr>
      </w:pPr>
      <w:r>
        <w:rPr>
          <w:rFonts w:ascii="宋体" w:hAnsi="宋体" w:hint="eastAsia"/>
          <w:b/>
          <w:bCs/>
        </w:rPr>
        <w:t>（三）向国家知识产权局提交的专利申请文本与经保护中心预审通过的专利申请文本一致。</w:t>
      </w:r>
    </w:p>
    <w:p w:rsidR="00FC7039" w:rsidRDefault="00FC7039" w:rsidP="00FC7039">
      <w:pPr>
        <w:spacing w:line="540" w:lineRule="exact"/>
        <w:ind w:firstLineChars="200" w:firstLine="635"/>
        <w:rPr>
          <w:rFonts w:ascii="宋体" w:hAnsi="宋体"/>
          <w:b/>
          <w:bCs/>
        </w:rPr>
      </w:pPr>
      <w:r>
        <w:rPr>
          <w:rFonts w:ascii="宋体" w:hAnsi="宋体" w:hint="eastAsia"/>
          <w:b/>
          <w:bCs/>
        </w:rPr>
        <w:t>（四）对同一专利申请不向国家知识产权局进行重复提交。</w:t>
      </w:r>
    </w:p>
    <w:p w:rsidR="00FC7039" w:rsidRDefault="00FC7039" w:rsidP="00FC7039">
      <w:pPr>
        <w:spacing w:line="540" w:lineRule="exact"/>
        <w:ind w:firstLineChars="200" w:firstLine="635"/>
        <w:rPr>
          <w:rFonts w:ascii="宋体" w:hAnsi="宋体"/>
          <w:b/>
          <w:bCs/>
        </w:rPr>
      </w:pPr>
      <w:r>
        <w:rPr>
          <w:rFonts w:ascii="宋体" w:hAnsi="宋体" w:hint="eastAsia"/>
          <w:b/>
          <w:bCs/>
        </w:rPr>
        <w:t>（五）经预审通过的专利申请，在国家知识产权局发出专利申请受理通知书起</w:t>
      </w:r>
      <w:r>
        <w:rPr>
          <w:rFonts w:ascii="宋体" w:hAnsi="宋体" w:hint="eastAsia"/>
          <w:b/>
          <w:bCs/>
        </w:rPr>
        <w:t>1</w:t>
      </w:r>
      <w:r>
        <w:rPr>
          <w:rFonts w:ascii="宋体" w:hAnsi="宋体" w:hint="eastAsia"/>
          <w:b/>
          <w:bCs/>
        </w:rPr>
        <w:t>个工作日内，完成下列费用的网上足额缴费：申请费（含附加费）、公布印刷费（仅限发明专利申请）、实质审查费（仅限发明专利申请），并向保护中心反馈申请号及缴费凭证。</w:t>
      </w:r>
    </w:p>
    <w:p w:rsidR="00FC7039" w:rsidRDefault="00FC7039" w:rsidP="00FC7039">
      <w:pPr>
        <w:spacing w:line="540" w:lineRule="exact"/>
        <w:ind w:firstLineChars="200" w:firstLine="632"/>
        <w:rPr>
          <w:rFonts w:ascii="宋体" w:eastAsia="方正黑体_GBK" w:hAnsi="宋体"/>
        </w:rPr>
      </w:pPr>
      <w:r>
        <w:rPr>
          <w:rFonts w:ascii="宋体" w:eastAsia="方正黑体_GBK" w:hAnsi="宋体" w:hint="eastAsia"/>
        </w:rPr>
        <w:t>三、在专利申请预审通过后进入国家知识产权局快速审查程序阶段</w:t>
      </w:r>
    </w:p>
    <w:p w:rsidR="00FC7039" w:rsidRDefault="00FC7039" w:rsidP="00FC7039">
      <w:pPr>
        <w:spacing w:line="540" w:lineRule="exact"/>
        <w:ind w:firstLineChars="200" w:firstLine="635"/>
        <w:rPr>
          <w:rFonts w:ascii="宋体" w:hAnsi="宋体"/>
          <w:b/>
          <w:bCs/>
        </w:rPr>
      </w:pPr>
      <w:r>
        <w:rPr>
          <w:rFonts w:ascii="宋体" w:hAnsi="宋体" w:hint="eastAsia"/>
          <w:b/>
          <w:bCs/>
        </w:rPr>
        <w:t>（一）专利申请文件符合《专利法实施细则》第四十四条规定的初步审查要求。申请人名称、统一社会信用代码、发明人姓名、发明人身份证号、专利代理总委托书编号、专利代理机构代码、专利代理师资格证号等信息均填写准确。</w:t>
      </w:r>
    </w:p>
    <w:p w:rsidR="00FC7039" w:rsidRDefault="00FC7039" w:rsidP="00FC7039">
      <w:pPr>
        <w:spacing w:line="540" w:lineRule="exact"/>
        <w:ind w:firstLineChars="200" w:firstLine="635"/>
        <w:rPr>
          <w:rFonts w:ascii="宋体" w:hAnsi="宋体"/>
          <w:b/>
          <w:bCs/>
        </w:rPr>
      </w:pPr>
      <w:r>
        <w:rPr>
          <w:rFonts w:ascii="宋体" w:hAnsi="宋体" w:hint="eastAsia"/>
          <w:b/>
          <w:bCs/>
        </w:rPr>
        <w:lastRenderedPageBreak/>
        <w:t>（二）对于根据《专利法》第二十四条和《专利法实施细则》第三十三条第三款的需要提交证明文件的情形，将相关证明文件将在申请日一并提交。</w:t>
      </w:r>
    </w:p>
    <w:p w:rsidR="00FC7039" w:rsidRDefault="00FC7039" w:rsidP="00FC7039">
      <w:pPr>
        <w:spacing w:line="540" w:lineRule="exact"/>
        <w:ind w:firstLineChars="200" w:firstLine="635"/>
        <w:rPr>
          <w:rFonts w:ascii="宋体" w:hAnsi="宋体"/>
          <w:b/>
          <w:bCs/>
        </w:rPr>
      </w:pPr>
      <w:r>
        <w:rPr>
          <w:rFonts w:ascii="宋体" w:hAnsi="宋体" w:hint="eastAsia"/>
          <w:b/>
          <w:bCs/>
        </w:rPr>
        <w:t>（三）对于发明专利申请，针对国家知识产权局发出的第一、二次审查意见通知书，分别在</w:t>
      </w:r>
      <w:r>
        <w:rPr>
          <w:rFonts w:ascii="宋体" w:hAnsi="宋体" w:hint="eastAsia"/>
          <w:b/>
          <w:bCs/>
        </w:rPr>
        <w:t>10</w:t>
      </w:r>
      <w:r>
        <w:rPr>
          <w:rFonts w:ascii="宋体" w:hAnsi="宋体" w:hint="eastAsia"/>
          <w:b/>
          <w:bCs/>
        </w:rPr>
        <w:t>个、</w:t>
      </w:r>
      <w:r>
        <w:rPr>
          <w:rFonts w:ascii="宋体" w:hAnsi="宋体" w:hint="eastAsia"/>
          <w:b/>
          <w:bCs/>
        </w:rPr>
        <w:t>5</w:t>
      </w:r>
      <w:r>
        <w:rPr>
          <w:rFonts w:ascii="宋体" w:hAnsi="宋体" w:hint="eastAsia"/>
          <w:b/>
          <w:bCs/>
        </w:rPr>
        <w:t>个工作日内提交符合要求的</w:t>
      </w:r>
      <w:r>
        <w:rPr>
          <w:rFonts w:ascii="宋体" w:hAnsi="宋体" w:hint="eastAsia"/>
          <w:b/>
          <w:bCs/>
        </w:rPr>
        <w:t>XML</w:t>
      </w:r>
      <w:r>
        <w:rPr>
          <w:rFonts w:ascii="宋体" w:hAnsi="宋体" w:hint="eastAsia"/>
          <w:b/>
          <w:bCs/>
        </w:rPr>
        <w:t>格式答复意见。对于实用新型专利申请，针对国家知识产权局发出的审查意见通知书，在</w:t>
      </w:r>
      <w:r>
        <w:rPr>
          <w:rFonts w:ascii="宋体" w:hAnsi="宋体" w:hint="eastAsia"/>
          <w:b/>
          <w:bCs/>
        </w:rPr>
        <w:t>5</w:t>
      </w:r>
      <w:r>
        <w:rPr>
          <w:rFonts w:ascii="宋体" w:hAnsi="宋体" w:hint="eastAsia"/>
          <w:b/>
          <w:bCs/>
        </w:rPr>
        <w:t>个工作日内提交符合要求的</w:t>
      </w:r>
      <w:r>
        <w:rPr>
          <w:rFonts w:ascii="宋体" w:hAnsi="宋体" w:hint="eastAsia"/>
          <w:b/>
          <w:bCs/>
        </w:rPr>
        <w:t xml:space="preserve">XML </w:t>
      </w:r>
      <w:r>
        <w:rPr>
          <w:rFonts w:ascii="宋体" w:hAnsi="宋体" w:hint="eastAsia"/>
          <w:b/>
          <w:bCs/>
        </w:rPr>
        <w:t>格式答复意见。</w:t>
      </w:r>
    </w:p>
    <w:p w:rsidR="00FC7039" w:rsidRDefault="00FC7039" w:rsidP="00FC7039">
      <w:pPr>
        <w:spacing w:line="540" w:lineRule="exact"/>
        <w:ind w:firstLineChars="200" w:firstLine="635"/>
        <w:rPr>
          <w:rFonts w:ascii="宋体" w:hAnsi="宋体"/>
          <w:b/>
          <w:bCs/>
        </w:rPr>
      </w:pPr>
      <w:r>
        <w:rPr>
          <w:rFonts w:ascii="宋体" w:hAnsi="宋体" w:hint="eastAsia"/>
          <w:b/>
          <w:bCs/>
        </w:rPr>
        <w:t>（四）在审查过程中，自愿放弃《专利法实施细则》第五十七条第一款和第二款所规定的对专利申请进行主动修改的权利。</w:t>
      </w:r>
    </w:p>
    <w:p w:rsidR="00FC7039" w:rsidRDefault="00FC7039" w:rsidP="00FC7039">
      <w:pPr>
        <w:spacing w:line="540" w:lineRule="exact"/>
        <w:ind w:firstLineChars="200" w:firstLine="635"/>
        <w:rPr>
          <w:rFonts w:ascii="宋体" w:hAnsi="宋体"/>
          <w:b/>
          <w:bCs/>
        </w:rPr>
      </w:pPr>
      <w:r>
        <w:rPr>
          <w:rFonts w:ascii="宋体" w:hAnsi="宋体" w:hint="eastAsia"/>
          <w:b/>
          <w:bCs/>
        </w:rPr>
        <w:t>（五）在专利申请授权公告前，自愿放弃提出著录项目变更请求的权利。</w:t>
      </w:r>
    </w:p>
    <w:p w:rsidR="00FC7039" w:rsidRDefault="00FC7039" w:rsidP="00FC7039">
      <w:pPr>
        <w:spacing w:line="540" w:lineRule="exact"/>
        <w:ind w:firstLineChars="200" w:firstLine="635"/>
        <w:rPr>
          <w:rFonts w:ascii="宋体" w:hAnsi="宋体"/>
          <w:b/>
          <w:bCs/>
        </w:rPr>
      </w:pPr>
      <w:r>
        <w:rPr>
          <w:rFonts w:ascii="宋体" w:hAnsi="宋体" w:hint="eastAsia"/>
          <w:b/>
          <w:bCs/>
        </w:rPr>
        <w:t>（六）主动撤回专利申请前，及时向保护中心报备。</w:t>
      </w:r>
    </w:p>
    <w:p w:rsidR="00FC7039" w:rsidRDefault="00FC7039" w:rsidP="00FC7039">
      <w:pPr>
        <w:spacing w:line="540" w:lineRule="exact"/>
        <w:ind w:firstLineChars="200" w:firstLine="635"/>
        <w:rPr>
          <w:rFonts w:ascii="宋体" w:hAnsi="宋体"/>
          <w:b/>
          <w:bCs/>
        </w:rPr>
      </w:pPr>
      <w:r>
        <w:rPr>
          <w:rFonts w:ascii="宋体" w:hAnsi="宋体" w:hint="eastAsia"/>
          <w:b/>
          <w:bCs/>
        </w:rPr>
        <w:t>（七）积极配合国家知识产权局提出的讨论约请。</w:t>
      </w:r>
    </w:p>
    <w:p w:rsidR="00FC7039" w:rsidRDefault="00FC7039" w:rsidP="00FC7039">
      <w:pPr>
        <w:spacing w:line="540" w:lineRule="exact"/>
        <w:ind w:firstLineChars="200" w:firstLine="635"/>
        <w:rPr>
          <w:rFonts w:ascii="宋体" w:hAnsi="宋体"/>
          <w:b/>
          <w:bCs/>
        </w:rPr>
      </w:pPr>
      <w:r>
        <w:rPr>
          <w:rFonts w:ascii="宋体" w:hAnsi="宋体" w:hint="eastAsia"/>
          <w:b/>
          <w:bCs/>
        </w:rPr>
        <w:t>若违背上述承诺，我单位（机构）知悉相关专利预审案件会被终止预审服务，或者无法进入快速审查通道，或者转为普通申请程序，并愿意承担暂停预审服务、取消预审资格等相应当责任。</w:t>
      </w:r>
    </w:p>
    <w:p w:rsidR="00FC7039" w:rsidRDefault="00FC7039" w:rsidP="00FC7039">
      <w:pPr>
        <w:spacing w:line="540" w:lineRule="exact"/>
        <w:ind w:firstLineChars="1300" w:firstLine="4108"/>
        <w:rPr>
          <w:rFonts w:ascii="宋体" w:eastAsia="仿宋_GB2312" w:hAnsi="宋体"/>
        </w:rPr>
      </w:pPr>
    </w:p>
    <w:p w:rsidR="00FC7039" w:rsidRDefault="00FC7039" w:rsidP="00FC7039">
      <w:pPr>
        <w:spacing w:line="540" w:lineRule="exact"/>
        <w:ind w:firstLineChars="1300" w:firstLine="4108"/>
        <w:rPr>
          <w:rFonts w:ascii="宋体" w:eastAsia="仿宋_GB2312" w:hAnsi="宋体"/>
        </w:rPr>
      </w:pPr>
    </w:p>
    <w:p w:rsidR="00FC7039" w:rsidRDefault="00FC7039" w:rsidP="00FC7039">
      <w:pPr>
        <w:spacing w:line="540" w:lineRule="exact"/>
        <w:ind w:firstLineChars="1400" w:firstLine="4442"/>
        <w:rPr>
          <w:rFonts w:ascii="宋体" w:hAnsi="宋体"/>
          <w:b/>
        </w:rPr>
      </w:pPr>
    </w:p>
    <w:p w:rsidR="00FC7039" w:rsidRDefault="00FC7039" w:rsidP="00FC7039">
      <w:pPr>
        <w:spacing w:line="540" w:lineRule="exact"/>
        <w:ind w:rightChars="400" w:right="1264"/>
        <w:jc w:val="right"/>
        <w:rPr>
          <w:rFonts w:ascii="宋体" w:hAnsi="宋体"/>
          <w:b/>
        </w:rPr>
      </w:pPr>
      <w:r>
        <w:rPr>
          <w:rFonts w:ascii="宋体" w:hAnsi="宋体" w:hint="eastAsia"/>
          <w:b/>
        </w:rPr>
        <w:t>承诺人（盖章）</w:t>
      </w:r>
    </w:p>
    <w:p w:rsidR="00FC7039" w:rsidRDefault="00FC7039" w:rsidP="00FC7039">
      <w:pPr>
        <w:spacing w:line="600" w:lineRule="exact"/>
        <w:ind w:rightChars="400" w:right="1264" w:firstLineChars="1300" w:firstLine="4124"/>
        <w:jc w:val="right"/>
        <w:rPr>
          <w:rFonts w:ascii="宋体" w:hAnsi="宋体" w:cs="仿宋_GB2312"/>
          <w:b/>
          <w:bCs/>
        </w:rPr>
      </w:pPr>
      <w:r>
        <w:rPr>
          <w:rFonts w:ascii="宋体" w:hAnsi="宋体" w:cs="仿宋_GB2312" w:hint="eastAsia"/>
          <w:b/>
          <w:szCs w:val="32"/>
        </w:rPr>
        <w:lastRenderedPageBreak/>
        <w:t xml:space="preserve">  </w:t>
      </w:r>
      <w:r>
        <w:rPr>
          <w:rFonts w:ascii="宋体" w:hAnsi="宋体" w:cs="仿宋_GB2312" w:hint="eastAsia"/>
          <w:b/>
          <w:szCs w:val="32"/>
        </w:rPr>
        <w:t>年</w:t>
      </w:r>
      <w:r>
        <w:rPr>
          <w:rFonts w:ascii="宋体" w:hAnsi="宋体" w:cs="仿宋_GB2312" w:hint="eastAsia"/>
          <w:b/>
          <w:szCs w:val="32"/>
        </w:rPr>
        <w:t xml:space="preserve">   </w:t>
      </w:r>
      <w:r>
        <w:rPr>
          <w:rFonts w:ascii="宋体" w:hAnsi="宋体" w:cs="仿宋_GB2312" w:hint="eastAsia"/>
          <w:b/>
          <w:szCs w:val="32"/>
        </w:rPr>
        <w:t>月</w:t>
      </w:r>
      <w:r>
        <w:rPr>
          <w:rFonts w:ascii="宋体" w:hAnsi="宋体" w:cs="仿宋_GB2312" w:hint="eastAsia"/>
          <w:b/>
          <w:szCs w:val="32"/>
        </w:rPr>
        <w:t xml:space="preserve">   </w:t>
      </w:r>
      <w:r>
        <w:rPr>
          <w:rFonts w:ascii="宋体" w:hAnsi="宋体" w:cs="仿宋_GB2312" w:hint="eastAsia"/>
          <w:b/>
          <w:szCs w:val="32"/>
        </w:rPr>
        <w:t>日</w:t>
      </w:r>
    </w:p>
    <w:p w:rsidR="003A2D67" w:rsidRDefault="003A2D67"/>
    <w:sectPr w:rsidR="003A2D67" w:rsidSect="002E1C2E">
      <w:footerReference w:type="even" r:id="rId5"/>
      <w:footerReference w:type="default" r:id="rId6"/>
      <w:pgSz w:w="11906" w:h="16838"/>
      <w:pgMar w:top="1985" w:right="1474" w:bottom="2098" w:left="1588" w:header="720" w:footer="1474" w:gutter="0"/>
      <w:paperSrc w:first="15" w:other="15"/>
      <w:pgNumType w:start="1"/>
      <w:cols w:space="720"/>
      <w:docGrid w:type="linesAndChars" w:linePitch="595" w:charSpace="-819"/>
    </w:sectPr>
  </w:body>
</w:document>
</file>

<file path=word/fontTable.xml><?xml version="1.0" encoding="utf-8"?>
<w:fonts xmlns:r="http://schemas.openxmlformats.org/officeDocument/2006/relationships" xmlns:w="http://schemas.openxmlformats.org/wordprocessingml/2006/main">
  <w:font w:name="方正黑体_GBK">
    <w:panose1 w:val="03000509000000000000"/>
    <w:charset w:val="86"/>
    <w:family w:val="script"/>
    <w:pitch w:val="fixed"/>
    <w:sig w:usb0="00000001" w:usb1="080E0000" w:usb2="00000010" w:usb3="00000000" w:csb0="00040000" w:csb1="00000000"/>
  </w:font>
  <w:font w:name="仿宋_GB2312">
    <w:altName w:val="仿宋"/>
    <w:charset w:val="86"/>
    <w:family w:val="modern"/>
    <w:pitch w:val="default"/>
    <w:sig w:usb0="00000000" w:usb1="0000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E1C2E" w:rsidRDefault="00FC7039">
    <w:pPr>
      <w:pStyle w:val="a3"/>
      <w:ind w:firstLineChars="100" w:firstLine="280"/>
      <w:jc w:val="left"/>
    </w:pPr>
    <w:r>
      <w:rPr>
        <w:rFonts w:hint="eastAsia"/>
      </w:rPr>
      <w:t>—</w:t>
    </w:r>
    <w:r>
      <w:rPr>
        <w:rFonts w:hint="eastAsia"/>
      </w:rPr>
      <w:t xml:space="preserve"> </w:t>
    </w:r>
    <w:r>
      <w:rPr>
        <w:rStyle w:val="a4"/>
        <w:rFonts w:ascii="宋体" w:eastAsia="宋体" w:hAnsi="宋体"/>
      </w:rPr>
      <w:fldChar w:fldCharType="begin"/>
    </w:r>
    <w:r>
      <w:rPr>
        <w:rStyle w:val="a4"/>
        <w:rFonts w:ascii="宋体" w:eastAsia="宋体" w:hAnsi="宋体"/>
      </w:rPr>
      <w:instrText xml:space="preserve"> PAGE </w:instrText>
    </w:r>
    <w:r>
      <w:rPr>
        <w:rStyle w:val="a4"/>
        <w:rFonts w:ascii="宋体" w:eastAsia="宋体" w:hAnsi="宋体"/>
      </w:rPr>
      <w:fldChar w:fldCharType="separate"/>
    </w:r>
    <w:r>
      <w:rPr>
        <w:rStyle w:val="a4"/>
        <w:rFonts w:ascii="宋体" w:eastAsia="宋体" w:hAnsi="宋体"/>
        <w:noProof/>
      </w:rPr>
      <w:t>10</w:t>
    </w:r>
    <w:r>
      <w:rPr>
        <w:rStyle w:val="a4"/>
        <w:rFonts w:ascii="宋体" w:eastAsia="宋体" w:hAnsi="宋体"/>
      </w:rPr>
      <w:fldChar w:fldCharType="end"/>
    </w:r>
    <w:r>
      <w:rPr>
        <w:rFonts w:hint="eastAsia"/>
      </w:rPr>
      <w:t>—</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E1C2E" w:rsidRDefault="00FC7039">
    <w:pPr>
      <w:pStyle w:val="a3"/>
      <w:wordWrap w:val="0"/>
      <w:jc w:val="right"/>
    </w:pPr>
    <w:r>
      <w:rPr>
        <w:rFonts w:hint="eastAsia"/>
      </w:rPr>
      <w:t>—</w:t>
    </w:r>
    <w:r>
      <w:rPr>
        <w:rFonts w:hint="eastAsia"/>
      </w:rPr>
      <w:t xml:space="preserve"> </w:t>
    </w:r>
    <w:r>
      <w:rPr>
        <w:rStyle w:val="a4"/>
        <w:rFonts w:ascii="宋体" w:eastAsia="宋体" w:hAnsi="宋体"/>
      </w:rPr>
      <w:fldChar w:fldCharType="begin"/>
    </w:r>
    <w:r>
      <w:rPr>
        <w:rStyle w:val="a4"/>
        <w:rFonts w:ascii="宋体" w:eastAsia="宋体" w:hAnsi="宋体"/>
      </w:rPr>
      <w:instrText xml:space="preserve"> PAGE </w:instrText>
    </w:r>
    <w:r>
      <w:rPr>
        <w:rStyle w:val="a4"/>
        <w:rFonts w:ascii="宋体" w:eastAsia="宋体" w:hAnsi="宋体"/>
      </w:rPr>
      <w:fldChar w:fldCharType="separate"/>
    </w:r>
    <w:r>
      <w:rPr>
        <w:rStyle w:val="a4"/>
        <w:rFonts w:ascii="宋体" w:eastAsia="宋体" w:hAnsi="宋体"/>
        <w:noProof/>
      </w:rPr>
      <w:t>9</w:t>
    </w:r>
    <w:r>
      <w:rPr>
        <w:rStyle w:val="a4"/>
        <w:rFonts w:ascii="宋体" w:eastAsia="宋体" w:hAnsi="宋体"/>
      </w:rPr>
      <w:fldChar w:fldCharType="end"/>
    </w:r>
    <w:r>
      <w:rPr>
        <w:rFonts w:hint="eastAsia"/>
      </w:rPr>
      <w:t>—</w: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E646617"/>
    <w:multiLevelType w:val="multilevel"/>
    <w:tmpl w:val="5E646617"/>
    <w:lvl w:ilvl="0">
      <w:start w:val="1"/>
      <w:numFmt w:val="chineseCountingThousand"/>
      <w:lvlText w:val="第%1条"/>
      <w:lvlJc w:val="left"/>
      <w:pPr>
        <w:tabs>
          <w:tab w:val="left" w:pos="1416"/>
        </w:tabs>
        <w:ind w:left="1413" w:hanging="420"/>
      </w:pPr>
      <w:rPr>
        <w:rFonts w:ascii="方正黑体_GBK" w:eastAsia="方正黑体_GBK" w:hAnsi="仿宋_GB2312" w:cs="仿宋_GB2312" w:hint="eastAsia"/>
        <w:sz w:val="32"/>
        <w:lang w:val="en-US"/>
      </w:rPr>
    </w:lvl>
    <w:lvl w:ilvl="1">
      <w:start w:val="1"/>
      <w:numFmt w:val="lowerLetter"/>
      <w:lvlText w:val="%2)"/>
      <w:lvlJc w:val="left"/>
      <w:pPr>
        <w:ind w:left="1472" w:hanging="420"/>
      </w:pPr>
    </w:lvl>
    <w:lvl w:ilvl="2">
      <w:start w:val="1"/>
      <w:numFmt w:val="lowerRoman"/>
      <w:lvlText w:val="%3."/>
      <w:lvlJc w:val="right"/>
      <w:pPr>
        <w:ind w:left="1892" w:hanging="420"/>
      </w:pPr>
    </w:lvl>
    <w:lvl w:ilvl="3">
      <w:start w:val="1"/>
      <w:numFmt w:val="decimal"/>
      <w:lvlText w:val="%4."/>
      <w:lvlJc w:val="left"/>
      <w:pPr>
        <w:ind w:left="2312" w:hanging="420"/>
      </w:pPr>
    </w:lvl>
    <w:lvl w:ilvl="4">
      <w:start w:val="1"/>
      <w:numFmt w:val="lowerLetter"/>
      <w:lvlText w:val="%5)"/>
      <w:lvlJc w:val="left"/>
      <w:pPr>
        <w:ind w:left="2732" w:hanging="420"/>
      </w:pPr>
    </w:lvl>
    <w:lvl w:ilvl="5">
      <w:start w:val="1"/>
      <w:numFmt w:val="lowerRoman"/>
      <w:lvlText w:val="%6."/>
      <w:lvlJc w:val="right"/>
      <w:pPr>
        <w:ind w:left="3152" w:hanging="420"/>
      </w:pPr>
    </w:lvl>
    <w:lvl w:ilvl="6">
      <w:start w:val="1"/>
      <w:numFmt w:val="decimal"/>
      <w:lvlText w:val="%7."/>
      <w:lvlJc w:val="left"/>
      <w:pPr>
        <w:ind w:left="3572" w:hanging="420"/>
      </w:pPr>
    </w:lvl>
    <w:lvl w:ilvl="7">
      <w:start w:val="1"/>
      <w:numFmt w:val="lowerLetter"/>
      <w:lvlText w:val="%8)"/>
      <w:lvlJc w:val="left"/>
      <w:pPr>
        <w:ind w:left="3992" w:hanging="420"/>
      </w:pPr>
    </w:lvl>
    <w:lvl w:ilvl="8">
      <w:start w:val="1"/>
      <w:numFmt w:val="lowerRoman"/>
      <w:lvlText w:val="%9."/>
      <w:lvlJc w:val="right"/>
      <w:pPr>
        <w:ind w:left="4412" w:hanging="42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FC7039"/>
    <w:rsid w:val="00366CCE"/>
    <w:rsid w:val="003A2D67"/>
    <w:rsid w:val="00925055"/>
    <w:rsid w:val="00FC703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qFormat="1"/>
    <w:lsdException w:name="caption" w:uiPriority="35" w:qFormat="1"/>
    <w:lsdException w:name="page number"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C7039"/>
    <w:pPr>
      <w:widowControl w:val="0"/>
      <w:autoSpaceDE w:val="0"/>
      <w:autoSpaceDN w:val="0"/>
      <w:snapToGrid w:val="0"/>
      <w:spacing w:line="590" w:lineRule="atLeast"/>
      <w:ind w:firstLine="624"/>
      <w:jc w:val="both"/>
    </w:pPr>
    <w:rPr>
      <w:rFonts w:ascii="Times New Roman" w:eastAsia="方正仿宋_GBK" w:hAnsi="Times New Roman" w:cs="Times New Roman"/>
      <w:snapToGrid w:val="0"/>
      <w:kern w:val="0"/>
      <w:sz w:val="32"/>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qFormat/>
    <w:rsid w:val="00FC7039"/>
    <w:pPr>
      <w:tabs>
        <w:tab w:val="center" w:pos="4153"/>
        <w:tab w:val="right" w:pos="8306"/>
      </w:tabs>
      <w:spacing w:line="400" w:lineRule="atLeast"/>
      <w:ind w:firstLine="0"/>
      <w:jc w:val="center"/>
    </w:pPr>
    <w:rPr>
      <w:sz w:val="28"/>
    </w:rPr>
  </w:style>
  <w:style w:type="character" w:customStyle="1" w:styleId="Char">
    <w:name w:val="页脚 Char"/>
    <w:basedOn w:val="a0"/>
    <w:link w:val="a3"/>
    <w:rsid w:val="00FC7039"/>
    <w:rPr>
      <w:rFonts w:ascii="Times New Roman" w:eastAsia="方正仿宋_GBK" w:hAnsi="Times New Roman" w:cs="Times New Roman"/>
      <w:snapToGrid w:val="0"/>
      <w:kern w:val="0"/>
      <w:sz w:val="28"/>
      <w:szCs w:val="20"/>
    </w:rPr>
  </w:style>
  <w:style w:type="character" w:styleId="a4">
    <w:name w:val="page number"/>
    <w:basedOn w:val="a0"/>
    <w:qFormat/>
    <w:rsid w:val="00FC7039"/>
  </w:style>
  <w:style w:type="paragraph" w:customStyle="1" w:styleId="1">
    <w:name w:val="标题1"/>
    <w:basedOn w:val="a"/>
    <w:next w:val="a"/>
    <w:qFormat/>
    <w:rsid w:val="00FC7039"/>
    <w:pPr>
      <w:tabs>
        <w:tab w:val="left" w:pos="9193"/>
        <w:tab w:val="left" w:pos="9827"/>
      </w:tabs>
      <w:spacing w:line="700" w:lineRule="atLeast"/>
      <w:ind w:firstLine="0"/>
      <w:jc w:val="center"/>
    </w:pPr>
    <w:rPr>
      <w:rFonts w:eastAsia="方正小标宋_GBK"/>
      <w:sz w:val="4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11</Pages>
  <Words>652</Words>
  <Characters>3717</Characters>
  <Application>Microsoft Office Word</Application>
  <DocSecurity>0</DocSecurity>
  <Lines>30</Lines>
  <Paragraphs>8</Paragraphs>
  <ScaleCrop>false</ScaleCrop>
  <Company>Win</Company>
  <LinksUpToDate>false</LinksUpToDate>
  <CharactersWithSpaces>4361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NTKO</dc:creator>
  <cp:lastModifiedBy>NTKO</cp:lastModifiedBy>
  <cp:revision>1</cp:revision>
  <dcterms:created xsi:type="dcterms:W3CDTF">2025-09-02T07:28:00Z</dcterms:created>
  <dcterms:modified xsi:type="dcterms:W3CDTF">2025-09-02T07:29:00Z</dcterms:modified>
</cp:coreProperties>
</file>