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方正黑体_GBK" w:hAnsi="方正黑体_GBK" w:eastAsia="方正黑体_GBK" w:cs="方正黑体_GBK"/>
          <w:color w:val="40404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404040"/>
          <w:kern w:val="0"/>
          <w:sz w:val="32"/>
          <w:szCs w:val="32"/>
          <w:lang w:val="en-US" w:eastAsia="zh-CN"/>
        </w:rPr>
        <w:t>附件</w:t>
      </w:r>
    </w:p>
    <w:p>
      <w:pPr>
        <w:pStyle w:val="2"/>
        <w:ind w:left="0" w:leftChars="0" w:firstLine="0" w:firstLineChars="0"/>
        <w:jc w:val="center"/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2024年度江苏省知识产权战略推进计划项目</w:t>
      </w:r>
    </w:p>
    <w:p>
      <w:pPr>
        <w:pStyle w:val="2"/>
        <w:ind w:left="0" w:leftChars="0" w:firstLine="0" w:firstLineChars="0"/>
        <w:jc w:val="center"/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拟立项单位名单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知识产权建设示范（保护示范区）</w:t>
      </w:r>
    </w:p>
    <w:tbl>
      <w:tblPr>
        <w:tblStyle w:val="3"/>
        <w:tblW w:w="73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常州市武进区人民政府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南京江北新区管理委员会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61" w:beforeLines="50" w:line="240" w:lineRule="auto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“正版正货”示范街区</w:t>
      </w:r>
    </w:p>
    <w:tbl>
      <w:tblPr>
        <w:tblStyle w:val="4"/>
        <w:tblW w:w="73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南京建邺金鹰购物中心有限公司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无锡恒隆地产有限公司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徐州新沂新城吾悦商业管理有限公司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常州溧阳万达广场商业管理有限公司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常州金坛八佰伴商业管理有限公司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苏州新城吾悦商业管理有限公司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华润置地（南通）发展有限公司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文峰大世界连锁发展股份有限公司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涟水新城吾悦商业管理有限公司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盐城市大丰区新城吾悦商业管理有限公司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扬州砂之船商业管理有限公司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泰兴市鼓楼新天地购物中心有限公司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宿迁泗阳新城吾悦商业管理有限公司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20" w:beforeLines="100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商标品牌培育和保护</w:t>
      </w:r>
    </w:p>
    <w:p>
      <w:pPr>
        <w:pStyle w:val="2"/>
        <w:numPr>
          <w:ilvl w:val="0"/>
          <w:numId w:val="2"/>
        </w:numPr>
        <w:ind w:left="-1" w:leftChars="0" w:firstLine="0" w:firstLineChars="0"/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地理标志</w:t>
      </w:r>
    </w:p>
    <w:tbl>
      <w:tblPr>
        <w:tblStyle w:val="3"/>
        <w:tblW w:w="73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南京市人民政府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无锡市梁溪区人民政府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连云港市东海县人民政府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盱眙县人民政府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射阳县人民政府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泗洪县人民政府</w:t>
            </w:r>
          </w:p>
        </w:tc>
      </w:tr>
    </w:tbl>
    <w:p>
      <w:pPr>
        <w:pStyle w:val="2"/>
        <w:numPr>
          <w:ilvl w:val="0"/>
          <w:numId w:val="2"/>
        </w:numPr>
        <w:ind w:left="-1" w:leftChars="0" w:firstLine="0" w:firstLineChars="0"/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区域品牌</w:t>
      </w:r>
    </w:p>
    <w:tbl>
      <w:tblPr>
        <w:tblStyle w:val="3"/>
        <w:tblW w:w="73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南京市玄武区人民政府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宜兴市人民政府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睢宁县人民政府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常州市新北区人民政府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南通市人民政府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丹阳市人民政府</w:t>
            </w:r>
          </w:p>
        </w:tc>
      </w:tr>
    </w:tbl>
    <w:p>
      <w:pPr>
        <w:pStyle w:val="2"/>
        <w:numPr>
          <w:ilvl w:val="0"/>
          <w:numId w:val="2"/>
        </w:numPr>
        <w:ind w:left="-1" w:leftChars="0" w:firstLine="0" w:firstLineChars="0"/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工业品牌</w:t>
      </w:r>
    </w:p>
    <w:tbl>
      <w:tblPr>
        <w:tblStyle w:val="4"/>
        <w:tblW w:w="7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江苏高淳陶瓷股份有限公司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kern w:val="0"/>
                <w:sz w:val="24"/>
                <w:szCs w:val="24"/>
              </w:rPr>
              <w:t>徐州斯尔克纤维科技股份有限公司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格力博（江苏）股份有限公司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江苏龙城精锻集团有限公司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江苏恒力化纤股份有限公司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kern w:val="0"/>
                <w:sz w:val="24"/>
                <w:szCs w:val="24"/>
              </w:rPr>
              <w:t>金龙联合汽车工业（苏州）有限公司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kern w:val="0"/>
                <w:sz w:val="24"/>
                <w:szCs w:val="24"/>
              </w:rPr>
              <w:t>江苏金太阳纺织科技股份有限公司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江苏爱特福84股份有限公司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江苏康乃馨织造有限公司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江苏星火特钢集团有限公司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61" w:beforeLines="50" w:line="240" w:lineRule="auto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高价值专利培育</w:t>
      </w:r>
    </w:p>
    <w:tbl>
      <w:tblPr>
        <w:tblStyle w:val="3"/>
        <w:tblW w:w="7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南京医科大学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农业农村部南京农业机械化研究所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江苏卓胜微电子股份有限公司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中创新航科技集团股份有限公司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天地（常州）自动化股份有限公司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苏州元脑智能科技有限公司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信达生物制药（苏州）有限公司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中天科技海缆股份有限公司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江苏金风科技有限公司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江苏视科新材料股份有限公司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61" w:beforeLines="50" w:line="240" w:lineRule="auto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专利转化专项</w:t>
      </w:r>
    </w:p>
    <w:tbl>
      <w:tblPr>
        <w:tblStyle w:val="4"/>
        <w:tblW w:w="7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南京白下高新技术产业园区管理委员会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南京徐庄高新技术产业开发区管理委员会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江苏省无锡蠡园经济开发区管理委员会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江苏常州天宁经济开发区管理委员会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海门经济技术开发区管理委员会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海安经济技术开发区管理委员会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2"/>
              <w:spacing w:line="0" w:lineRule="atLeast"/>
              <w:ind w:firstLine="0" w:firstLineChars="0"/>
              <w:jc w:val="both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扬州经济技术开发区管理委员会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2"/>
              <w:spacing w:line="0" w:lineRule="atLeast"/>
              <w:ind w:firstLine="0" w:firstLineChars="0"/>
              <w:jc w:val="both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镇江经济技术开发区管理委员会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2"/>
              <w:spacing w:line="0" w:lineRule="atLeast"/>
              <w:ind w:firstLine="0" w:firstLineChars="0"/>
              <w:jc w:val="both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江苏省泰兴高新技术产业开发区管理委员会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2"/>
              <w:spacing w:line="0" w:lineRule="atLeast"/>
              <w:ind w:firstLine="0" w:firstLineChars="0"/>
              <w:jc w:val="both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江苏泗阳经济开发区管理委员会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61" w:beforeLines="50" w:line="240" w:lineRule="auto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知识产权科研</w:t>
      </w:r>
    </w:p>
    <w:tbl>
      <w:tblPr>
        <w:tblStyle w:val="4"/>
        <w:tblW w:w="87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3"/>
        <w:gridCol w:w="43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拟立项单位（项目负责人）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课题名称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南京理工大学（范炜烽）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数据知识产权分类分级标准研究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南京大学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（邵科）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数据知识产权立法研究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江苏省知识产权保护中心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（徐琦）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江苏知识产权快速协同保护体系高效高质运行机制与路径研究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江苏省科学技术情报研究所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（李向辉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吴华珠）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医药领域数据知识产权管理标准研究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东南大学（胡曦玮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郭泊池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知识产权服务高层次人才机制与路径研究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江苏财经职业技术学院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（唐淑芬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张晓红）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非遗资源的地理标志保护和品牌培育路径研究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南京中策智慧知识产权研究院有限公司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>（赵家仪）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涉外知识产权风险监测预警与防控机制建设研究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金陵科技学院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（顾晓燕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罗茜）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促进高校院所专利转化运用机制与路径研究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徐州市知识产权保护中心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（张雷）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非正常专利申请监管机制优化设计研究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泰州市知识产权保护中心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eastAsia="zh-CN" w:bidi="ar"/>
              </w:rPr>
              <w:t>（叶平）</w:t>
            </w:r>
          </w:p>
        </w:tc>
        <w:tc>
          <w:tcPr>
            <w:tcW w:w="43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数据知识产权登记审查规范化研究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C7D58"/>
    <w:multiLevelType w:val="singleLevel"/>
    <w:tmpl w:val="AAFC7D5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A9F3184"/>
    <w:multiLevelType w:val="singleLevel"/>
    <w:tmpl w:val="5A9F318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48C63CC7"/>
    <w:rsid w:val="48C6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等线" w:hAnsi="等线" w:eastAsia="仿宋_GB2312" w:cs="等线"/>
      <w:color w:val="000000"/>
      <w:kern w:val="2"/>
      <w:sz w:val="31"/>
      <w:lang w:val="en-US" w:eastAsia="zh-CN" w:bidi="ar-SA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2024-04-03T08:27:00Z</dcterms:created>
  <dc:creator>ZXJ</dc:creator>
  <cp:lastModifiedBy>ZXJ</cp:lastModifiedBy>
  <dcterms:modified xsi:type="dcterms:W3CDTF">2024-04-03T08:28:24Z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514FA9AA6D3C464587154E6D84735407_11</vt:lpwstr>
  </property>
</Properties>
</file>