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9670C5A">
      <w:pPr>
        <w:pStyle w:val="2"/>
        <w:ind w:left="0" w:leftChars="0" w:firstLine="0" w:firstLineChars="0"/>
        <w:rPr>
          <w:rFonts w:hint="eastAsia" w:ascii="方正黑体_GBK" w:hAnsi="方正黑体_GBK" w:eastAsia="方正黑体_GBK" w:cs="方正黑体_GBK"/>
          <w:color w:val="404040"/>
          <w:kern w:val="0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color w:val="404040"/>
          <w:kern w:val="0"/>
          <w:sz w:val="32"/>
          <w:szCs w:val="32"/>
          <w:lang w:val="en-US" w:eastAsia="zh-CN"/>
        </w:rPr>
        <w:t>附件</w:t>
      </w:r>
    </w:p>
    <w:p w14:paraId="3E371240">
      <w:pPr>
        <w:pStyle w:val="2"/>
        <w:ind w:left="0" w:leftChars="0" w:firstLine="0" w:firstLineChars="0"/>
        <w:jc w:val="center"/>
        <w:rPr>
          <w:rFonts w:hint="eastAsia" w:ascii="Times New Roman" w:hAnsi="Times New Roman" w:eastAsia="方正小标宋_GBK" w:cs="Times New Roman"/>
          <w:color w:val="000000" w:themeColor="text1"/>
          <w:kern w:val="2"/>
          <w:sz w:val="40"/>
          <w:szCs w:val="36"/>
          <w:lang w:val="en-US" w:eastAsia="zh-CN" w:bidi="ar-SA"/>
          <w14:textFill>
            <w14:solidFill>
              <w14:schemeClr w14:val="tx1"/>
            </w14:solidFill>
          </w14:textFill>
        </w:rPr>
      </w:pPr>
      <w:bookmarkStart w:id="0" w:name="_GoBack"/>
      <w:r>
        <w:rPr>
          <w:rFonts w:hint="eastAsia" w:ascii="Times New Roman" w:hAnsi="Times New Roman" w:eastAsia="方正小标宋_GBK" w:cs="Times New Roman"/>
          <w:color w:val="000000" w:themeColor="text1"/>
          <w:kern w:val="2"/>
          <w:sz w:val="40"/>
          <w:szCs w:val="36"/>
          <w:lang w:val="en-US" w:eastAsia="zh-CN" w:bidi="ar-SA"/>
          <w14:textFill>
            <w14:solidFill>
              <w14:schemeClr w14:val="tx1"/>
            </w14:solidFill>
          </w14:textFill>
        </w:rPr>
        <w:t>2025年度江苏省知识产权战略推进计划项目</w:t>
      </w:r>
    </w:p>
    <w:p w14:paraId="61D6F299">
      <w:pPr>
        <w:pStyle w:val="2"/>
        <w:ind w:left="0" w:leftChars="0" w:firstLine="0" w:firstLineChars="0"/>
        <w:jc w:val="center"/>
        <w:rPr>
          <w:rFonts w:hint="eastAsia" w:ascii="Times New Roman" w:hAnsi="Times New Roman" w:eastAsia="方正小标宋_GBK" w:cs="Times New Roman"/>
          <w:color w:val="000000" w:themeColor="text1"/>
          <w:kern w:val="2"/>
          <w:sz w:val="40"/>
          <w:szCs w:val="36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小标宋_GBK" w:cs="Times New Roman"/>
          <w:color w:val="000000" w:themeColor="text1"/>
          <w:kern w:val="2"/>
          <w:sz w:val="40"/>
          <w:szCs w:val="36"/>
          <w:lang w:val="en-US" w:eastAsia="zh-CN" w:bidi="ar-SA"/>
          <w14:textFill>
            <w14:solidFill>
              <w14:schemeClr w14:val="tx1"/>
            </w14:solidFill>
          </w14:textFill>
        </w:rPr>
        <w:t>拟立项名单</w:t>
      </w:r>
    </w:p>
    <w:bookmarkEnd w:id="0"/>
    <w:p w14:paraId="420A149F">
      <w:pPr>
        <w:pStyle w:val="2"/>
        <w:ind w:left="0" w:leftChars="0" w:firstLine="0" w:firstLineChars="0"/>
        <w:jc w:val="center"/>
        <w:rPr>
          <w:rFonts w:hint="eastAsia" w:ascii="Times New Roman" w:hAnsi="Times New Roman" w:eastAsia="方正小标宋_GBK" w:cs="Times New Roman"/>
          <w:color w:val="000000" w:themeColor="text1"/>
          <w:kern w:val="2"/>
          <w:sz w:val="40"/>
          <w:szCs w:val="36"/>
          <w:lang w:val="en-US" w:eastAsia="zh-CN" w:bidi="ar-SA"/>
          <w14:textFill>
            <w14:solidFill>
              <w14:schemeClr w14:val="tx1"/>
            </w14:solidFill>
          </w14:textFill>
        </w:rPr>
      </w:pPr>
    </w:p>
    <w:p w14:paraId="5323DED3">
      <w:pPr>
        <w:pStyle w:val="2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/>
        <w:textAlignment w:val="baseline"/>
        <w:rPr>
          <w:rFonts w:hint="eastAsia" w:ascii="方正黑体_GBK" w:hAnsi="方正黑体_GBK" w:eastAsia="方正黑体_GBK" w:cs="方正黑体_GBK"/>
          <w:b w:val="0"/>
          <w:bCs w:val="0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方正黑体_GBK" w:hAnsi="方正黑体_GBK" w:eastAsia="方正黑体_GBK" w:cs="方正黑体_GBK"/>
          <w:b w:val="0"/>
          <w:bCs w:val="0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知识产权保护体系建设</w:t>
      </w:r>
    </w:p>
    <w:tbl>
      <w:tblPr>
        <w:tblStyle w:val="4"/>
        <w:tblW w:w="737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283" w:type="dxa"/>
          <w:bottom w:w="0" w:type="dxa"/>
          <w:right w:w="108" w:type="dxa"/>
        </w:tblCellMar>
      </w:tblPr>
      <w:tblGrid>
        <w:gridCol w:w="7370"/>
      </w:tblGrid>
      <w:tr w14:paraId="57AD87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283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5506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无锡市知识产权局</w:t>
            </w:r>
          </w:p>
        </w:tc>
      </w:tr>
      <w:tr w14:paraId="28508A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283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6FAF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常州市武进区知识产权局</w:t>
            </w:r>
          </w:p>
        </w:tc>
      </w:tr>
      <w:tr w14:paraId="2CF06E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283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l2br w:val="nil"/>
              <w:tr2bl w:val="nil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C95C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南京市江宁区知识产权局</w:t>
            </w:r>
          </w:p>
        </w:tc>
      </w:tr>
    </w:tbl>
    <w:p w14:paraId="5952B40A">
      <w:pPr>
        <w:pStyle w:val="2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before="161" w:beforeLines="50" w:line="240" w:lineRule="auto"/>
        <w:ind w:firstLine="0"/>
        <w:textAlignment w:val="baseline"/>
        <w:rPr>
          <w:rFonts w:hint="eastAsia" w:ascii="方正黑体_GBK" w:hAnsi="方正黑体_GBK" w:eastAsia="方正黑体_GBK" w:cs="方正黑体_GBK"/>
          <w:b w:val="0"/>
          <w:bCs w:val="0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方正黑体_GBK" w:hAnsi="方正黑体_GBK" w:eastAsia="方正黑体_GBK" w:cs="方正黑体_GBK"/>
          <w:b w:val="0"/>
          <w:bCs w:val="0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高价值专利培育</w:t>
      </w:r>
    </w:p>
    <w:tbl>
      <w:tblPr>
        <w:tblStyle w:val="4"/>
        <w:tblW w:w="737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283" w:type="dxa"/>
          <w:bottom w:w="0" w:type="dxa"/>
          <w:right w:w="0" w:type="dxa"/>
        </w:tblCellMar>
      </w:tblPr>
      <w:tblGrid>
        <w:gridCol w:w="7370"/>
      </w:tblGrid>
      <w:tr w14:paraId="743C7F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3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AD31F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105" w:leftChars="50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南京理工大学</w:t>
            </w:r>
          </w:p>
        </w:tc>
      </w:tr>
      <w:tr w14:paraId="7D81B4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3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FFDB3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105" w:leftChars="50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南京莱斯信息技术股份有限公司</w:t>
            </w:r>
          </w:p>
        </w:tc>
      </w:tr>
      <w:tr w14:paraId="43546C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3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1DF58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105" w:leftChars="50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江苏菲沃泰纳米科技股份有限公司</w:t>
            </w:r>
          </w:p>
        </w:tc>
      </w:tr>
      <w:tr w14:paraId="30BAE6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3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8D191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105" w:leftChars="50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江苏恒立液压股份有限公司</w:t>
            </w:r>
          </w:p>
        </w:tc>
      </w:tr>
      <w:tr w14:paraId="5161A9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3" w:type="dxa"/>
            <w:bottom w:w="0" w:type="dxa"/>
            <w:right w:w="0" w:type="dxa"/>
          </w:tblCellMar>
        </w:tblPrEx>
        <w:trPr>
          <w:trHeight w:val="401" w:hRule="atLeast"/>
          <w:jc w:val="center"/>
        </w:trPr>
        <w:tc>
          <w:tcPr>
            <w:tcW w:w="73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49D76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105" w:leftChars="50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万帮数字能源股份有限公司</w:t>
            </w:r>
          </w:p>
        </w:tc>
      </w:tr>
      <w:tr w14:paraId="452314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3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26949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105" w:leftChars="50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普源精电科技股份有限公司</w:t>
            </w:r>
          </w:p>
        </w:tc>
      </w:tr>
      <w:tr w14:paraId="5A5933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3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1C310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105" w:leftChars="50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江苏正大清江制药有限公司</w:t>
            </w:r>
          </w:p>
        </w:tc>
      </w:tr>
      <w:tr w14:paraId="1B1B6D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3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959BF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105" w:leftChars="50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江苏天一航空工业股份有限公司</w:t>
            </w:r>
          </w:p>
        </w:tc>
      </w:tr>
      <w:tr w14:paraId="61FF8B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3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F0AD4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105" w:leftChars="50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宝胜科技创新股份有限公司</w:t>
            </w:r>
          </w:p>
        </w:tc>
      </w:tr>
      <w:tr w14:paraId="71B290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3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29BD9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105" w:leftChars="50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双登集团股份有限公司</w:t>
            </w:r>
          </w:p>
        </w:tc>
      </w:tr>
    </w:tbl>
    <w:p w14:paraId="078FDE59">
      <w:pPr>
        <w:pStyle w:val="2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320" w:beforeLines="100"/>
        <w:ind w:firstLine="0"/>
        <w:textAlignment w:val="baseline"/>
        <w:rPr>
          <w:rFonts w:hint="eastAsia" w:ascii="方正黑体_GBK" w:hAnsi="方正黑体_GBK" w:eastAsia="方正黑体_GBK" w:cs="方正黑体_GBK"/>
          <w:b w:val="0"/>
          <w:bCs w:val="0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方正黑体_GBK" w:hAnsi="方正黑体_GBK" w:eastAsia="方正黑体_GBK" w:cs="方正黑体_GBK"/>
          <w:b w:val="0"/>
          <w:bCs w:val="0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商标品牌培育和保护</w:t>
      </w:r>
    </w:p>
    <w:p w14:paraId="036AB613">
      <w:pPr>
        <w:pStyle w:val="2"/>
        <w:numPr>
          <w:ilvl w:val="0"/>
          <w:numId w:val="2"/>
        </w:numPr>
        <w:ind w:left="-1" w:leftChars="0" w:firstLine="0" w:firstLineChars="0"/>
        <w:rPr>
          <w:rFonts w:hint="eastAsia" w:ascii="方正楷体_GBK" w:hAnsi="方正楷体_GBK" w:eastAsia="方正楷体_GBK" w:cs="方正楷体_GBK"/>
          <w:b w:val="0"/>
          <w:bCs w:val="0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方正楷体_GBK" w:hAnsi="方正楷体_GBK" w:eastAsia="方正楷体_GBK" w:cs="方正楷体_GBK"/>
          <w:b w:val="0"/>
          <w:bCs w:val="0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地理标志</w:t>
      </w:r>
    </w:p>
    <w:tbl>
      <w:tblPr>
        <w:tblStyle w:val="4"/>
        <w:tblW w:w="737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70"/>
      </w:tblGrid>
      <w:tr w14:paraId="26E422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7370" w:type="dxa"/>
            <w:tcBorders>
              <w:tl2br w:val="nil"/>
              <w:tr2bl w:val="nil"/>
            </w:tcBorders>
            <w:noWrap w:val="0"/>
            <w:vAlign w:val="center"/>
          </w:tcPr>
          <w:p w14:paraId="5A7E62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南京市建邺区人民政府</w:t>
            </w:r>
          </w:p>
        </w:tc>
      </w:tr>
      <w:tr w14:paraId="37A00C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7370" w:type="dxa"/>
            <w:tcBorders>
              <w:tl2br w:val="nil"/>
              <w:tr2bl w:val="nil"/>
            </w:tcBorders>
            <w:noWrap w:val="0"/>
            <w:vAlign w:val="center"/>
          </w:tcPr>
          <w:p w14:paraId="59D3CF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连云港市连云区人民政府</w:t>
            </w:r>
          </w:p>
        </w:tc>
      </w:tr>
      <w:tr w14:paraId="2936DF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7370" w:type="dxa"/>
            <w:tcBorders>
              <w:tl2br w:val="nil"/>
              <w:tr2bl w:val="nil"/>
            </w:tcBorders>
            <w:noWrap w:val="0"/>
            <w:vAlign w:val="center"/>
          </w:tcPr>
          <w:p w14:paraId="397670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镇江市人民政府</w:t>
            </w:r>
          </w:p>
        </w:tc>
      </w:tr>
      <w:tr w14:paraId="0B3908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7370" w:type="dxa"/>
            <w:tcBorders>
              <w:tl2br w:val="nil"/>
              <w:tr2bl w:val="nil"/>
            </w:tcBorders>
            <w:noWrap w:val="0"/>
            <w:vAlign w:val="center"/>
          </w:tcPr>
          <w:p w14:paraId="47667A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泰兴市人民政府</w:t>
            </w:r>
          </w:p>
        </w:tc>
      </w:tr>
      <w:tr w14:paraId="6C7E6A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7370" w:type="dxa"/>
            <w:tcBorders>
              <w:tl2br w:val="nil"/>
              <w:tr2bl w:val="nil"/>
            </w:tcBorders>
            <w:noWrap w:val="0"/>
            <w:vAlign w:val="center"/>
          </w:tcPr>
          <w:p w14:paraId="148DCC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东台市人民政府</w:t>
            </w:r>
          </w:p>
        </w:tc>
      </w:tr>
    </w:tbl>
    <w:p w14:paraId="6F94EC0F">
      <w:pPr>
        <w:pStyle w:val="2"/>
        <w:numPr>
          <w:ilvl w:val="0"/>
          <w:numId w:val="2"/>
        </w:numPr>
        <w:ind w:left="-1" w:leftChars="0" w:firstLine="0" w:firstLineChars="0"/>
        <w:rPr>
          <w:rFonts w:hint="eastAsia" w:ascii="方正楷体_GBK" w:hAnsi="方正楷体_GBK" w:eastAsia="方正楷体_GBK" w:cs="方正楷体_GBK"/>
          <w:b w:val="0"/>
          <w:bCs w:val="0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方正楷体_GBK" w:hAnsi="方正楷体_GBK" w:eastAsia="方正楷体_GBK" w:cs="方正楷体_GBK"/>
          <w:b w:val="0"/>
          <w:bCs w:val="0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工业品牌</w:t>
      </w:r>
    </w:p>
    <w:tbl>
      <w:tblPr>
        <w:tblStyle w:val="5"/>
        <w:tblW w:w="737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70"/>
      </w:tblGrid>
      <w:tr w14:paraId="3DA4D9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5C5A59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南京埃斯顿自动化股份有限公司</w:t>
            </w:r>
          </w:p>
        </w:tc>
      </w:tr>
      <w:tr w14:paraId="05F15F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16139D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上能电气股份有限公司</w:t>
            </w:r>
          </w:p>
        </w:tc>
      </w:tr>
      <w:tr w14:paraId="0DA048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3C0BE0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江苏知原药业股份有限公司</w:t>
            </w:r>
          </w:p>
        </w:tc>
      </w:tr>
      <w:tr w14:paraId="634BE9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2AE91C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江苏省精创电气股份有限公司</w:t>
            </w:r>
          </w:p>
        </w:tc>
      </w:tr>
      <w:tr w14:paraId="66A595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1EE28D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江苏国茂减速机股份有限公司</w:t>
            </w:r>
          </w:p>
        </w:tc>
      </w:tr>
      <w:tr w14:paraId="55B9FA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4FC13E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江苏沙钢集团有限公司</w:t>
            </w:r>
          </w:p>
        </w:tc>
      </w:tr>
      <w:tr w14:paraId="6EE965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441CB1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江苏安惠生物科技有限公司</w:t>
            </w:r>
          </w:p>
        </w:tc>
      </w:tr>
      <w:tr w14:paraId="3B6606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2DB56B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盐城市兰丰环境工程科技有限公司</w:t>
            </w:r>
          </w:p>
        </w:tc>
      </w:tr>
      <w:tr w14:paraId="577DD8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7CC489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江苏盐电阀门有限公司</w:t>
            </w:r>
          </w:p>
        </w:tc>
      </w:tr>
      <w:tr w14:paraId="3642C1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308BD7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大全集团有限公司</w:t>
            </w:r>
          </w:p>
        </w:tc>
      </w:tr>
    </w:tbl>
    <w:p w14:paraId="252BA9CC">
      <w:pPr>
        <w:pStyle w:val="2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before="313" w:beforeLines="100" w:after="157" w:afterLines="50" w:line="240" w:lineRule="auto"/>
        <w:ind w:firstLine="0"/>
        <w:textAlignment w:val="baseline"/>
        <w:rPr>
          <w:rFonts w:hint="eastAsia" w:ascii="方正黑体_GBK" w:hAnsi="方正黑体_GBK" w:eastAsia="方正黑体_GBK" w:cs="方正黑体_GBK"/>
          <w:b w:val="0"/>
          <w:bCs w:val="0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方正黑体_GBK" w:hAnsi="方正黑体_GBK" w:eastAsia="方正黑体_GBK" w:cs="方正黑体_GBK"/>
          <w:b w:val="0"/>
          <w:bCs w:val="0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专利转化（产业知识产权运营中心）</w:t>
      </w:r>
    </w:p>
    <w:tbl>
      <w:tblPr>
        <w:tblStyle w:val="5"/>
        <w:tblW w:w="737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70"/>
      </w:tblGrid>
      <w:tr w14:paraId="4CAFFF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4FCB47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南京鼓楼高新技术产业开发区管理委员会</w:t>
            </w:r>
          </w:p>
        </w:tc>
      </w:tr>
      <w:tr w14:paraId="75BB0B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441F31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江苏省张家港高新技术产业开发区管理委员会</w:t>
            </w:r>
          </w:p>
        </w:tc>
      </w:tr>
      <w:tr w14:paraId="689201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3DD976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中国宜兴环保科技工业园管理委员会</w:t>
            </w:r>
          </w:p>
        </w:tc>
      </w:tr>
      <w:tr w14:paraId="09A9A5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47BE85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江苏丹阳经济开发区管理委员会</w:t>
            </w:r>
          </w:p>
        </w:tc>
      </w:tr>
      <w:tr w14:paraId="6973EE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7370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10FCBD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连云港经济技术开发区管理委员会</w:t>
            </w:r>
          </w:p>
        </w:tc>
      </w:tr>
    </w:tbl>
    <w:p w14:paraId="16151674">
      <w:pPr>
        <w:pStyle w:val="2"/>
        <w:numPr>
          <w:ilvl w:val="0"/>
          <w:numId w:val="0"/>
        </w:numPr>
        <w:ind w:leftChars="0"/>
        <w:jc w:val="left"/>
        <w:rPr>
          <w:rFonts w:hint="eastAsia" w:ascii="方正黑体_GBK" w:hAnsi="方正黑体_GBK" w:eastAsia="方正黑体_GBK" w:cs="方正黑体_GBK"/>
          <w:color w:val="404040"/>
          <w:kern w:val="0"/>
          <w:sz w:val="32"/>
          <w:szCs w:val="32"/>
          <w:lang w:eastAsia="zh-CN"/>
        </w:rPr>
      </w:pPr>
    </w:p>
    <w:p w14:paraId="2163ABB4"/>
    <w:sectPr>
      <w:footerReference r:id="rId3" w:type="default"/>
      <w:pgSz w:w="11906" w:h="16838"/>
      <w:pgMar w:top="2098" w:right="1587" w:bottom="2098" w:left="1587" w:header="851" w:footer="1417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楷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BCD3EC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278DC7B">
                          <w:pPr>
                            <w:pStyle w:val="3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278DC7B">
                    <w:pPr>
                      <w:pStyle w:val="3"/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AFC7D58"/>
    <w:multiLevelType w:val="singleLevel"/>
    <w:tmpl w:val="AAFC7D58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5A9F3184"/>
    <w:multiLevelType w:val="singleLevel"/>
    <w:tmpl w:val="5A9F3184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4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0797BB5"/>
    <w:rsid w:val="60797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_Style 2"/>
    <w:qFormat/>
    <w:uiPriority w:val="99"/>
    <w:pPr>
      <w:widowControl w:val="0"/>
      <w:spacing w:line="351" w:lineRule="atLeast"/>
      <w:ind w:firstLine="623"/>
      <w:jc w:val="both"/>
      <w:textAlignment w:val="baseline"/>
    </w:pPr>
    <w:rPr>
      <w:rFonts w:ascii="等线" w:hAnsi="等线" w:eastAsia="仿宋_GB2312" w:cs="等线"/>
      <w:color w:val="000000"/>
      <w:kern w:val="2"/>
      <w:sz w:val="31"/>
      <w:lang w:val="en-US" w:eastAsia="zh-CN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table" w:styleId="5">
    <w:name w:val="Table Grid"/>
    <w:basedOn w:val="4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2025-04-18T01:09:00Z</dcterms:created>
  <dc:creator>Administrator</dc:creator>
  <cp:lastModifiedBy>Administrator</cp:lastModifiedBy>
  <dcterms:modified xsi:type="dcterms:W3CDTF">2025-04-18T01:10:16Z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203F7C470E2B44BDADD422ADB4660810_11</vt:lpwstr>
  </property>
  <property fmtid="{D5CDD505-2E9C-101B-9397-08002B2CF9AE}" pid="4" name="KSOTemplateDocerSaveRecord">
    <vt:lpwstr>eyJoZGlkIjoiYzY0MmY5ZGU2YzAwMjM5ZmIzY2U0Zjk5Y2M5NWFkODEifQ==</vt:lpwstr>
  </property>
</Properties>
</file>